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931" w:rsidRDefault="006879E2">
      <w:pPr>
        <w:shd w:val="clear" w:color="auto" w:fill="FFFFFF"/>
        <w:spacing w:after="0" w:line="240" w:lineRule="auto"/>
        <w:ind w:left="142"/>
        <w:jc w:val="center"/>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MEMORANDO</w:t>
      </w:r>
    </w:p>
    <w:p w:rsidR="00FD1931" w:rsidRDefault="00FD1931">
      <w:pPr>
        <w:shd w:val="clear" w:color="auto" w:fill="FFFFFF"/>
        <w:spacing w:after="0" w:line="240" w:lineRule="auto"/>
        <w:ind w:firstLine="357"/>
      </w:pPr>
    </w:p>
    <w:p w:rsidR="00FD1931" w:rsidRDefault="00FD1931">
      <w:pPr>
        <w:shd w:val="clear" w:color="auto" w:fill="FFFFFF"/>
        <w:spacing w:after="0" w:line="276" w:lineRule="auto"/>
        <w:ind w:firstLine="357"/>
      </w:pPr>
    </w:p>
    <w:p w:rsidR="00FD1931" w:rsidRDefault="006879E2">
      <w:pPr>
        <w:shd w:val="clear" w:color="auto" w:fill="FFFFFF"/>
        <w:spacing w:after="0" w:line="276"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PARA:  </w:t>
      </w:r>
      <w:r>
        <w:rPr>
          <w:rFonts w:ascii="Times New Roman" w:eastAsia="Times New Roman" w:hAnsi="Times New Roman" w:cs="Times New Roman"/>
          <w:b/>
          <w:sz w:val="24"/>
          <w:szCs w:val="24"/>
        </w:rPr>
        <w:t>DAVID ANTONIO GARZÓN FANDIÑO</w:t>
      </w:r>
    </w:p>
    <w:p w:rsidR="00FD1931" w:rsidRDefault="006879E2">
      <w:pPr>
        <w:shd w:val="clear" w:color="auto" w:fill="FFFFFF"/>
        <w:spacing w:after="0" w:line="276"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Subsecretario de Despacho Comisión Segunda Permanente de Gobierno </w:t>
      </w:r>
    </w:p>
    <w:p w:rsidR="00FD1931" w:rsidRDefault="006879E2">
      <w:pPr>
        <w:shd w:val="clear" w:color="auto" w:fill="FFFFFF"/>
        <w:spacing w:after="0" w:line="276"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   H.C. ANDRES BARRIOS BERNAL</w:t>
      </w:r>
      <w:r>
        <w:rPr>
          <w:rFonts w:ascii="Times New Roman" w:eastAsia="Times New Roman" w:hAnsi="Times New Roman" w:cs="Times New Roman"/>
          <w:sz w:val="24"/>
          <w:szCs w:val="24"/>
        </w:rPr>
        <w:t xml:space="preserve">  </w:t>
      </w:r>
    </w:p>
    <w:p w:rsidR="00FD1931" w:rsidRDefault="006879E2">
      <w:pPr>
        <w:shd w:val="clear" w:color="auto" w:fill="FFFFFF"/>
        <w:spacing w:after="0" w:line="276"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Presidente Comisión Segunda Permanente de Gobierno del Concejo de Bogotá.      </w:t>
      </w:r>
    </w:p>
    <w:p w:rsidR="00FD1931" w:rsidRDefault="00FD1931">
      <w:pPr>
        <w:shd w:val="clear" w:color="auto" w:fill="FFFFFF"/>
        <w:spacing w:after="0" w:line="276" w:lineRule="auto"/>
        <w:ind w:left="0"/>
        <w:rPr>
          <w:rFonts w:ascii="Times New Roman" w:eastAsia="Times New Roman" w:hAnsi="Times New Roman" w:cs="Times New Roman"/>
          <w:sz w:val="24"/>
          <w:szCs w:val="24"/>
        </w:rPr>
      </w:pPr>
    </w:p>
    <w:p w:rsidR="00FD1931" w:rsidRDefault="006879E2">
      <w:pPr>
        <w:shd w:val="clear" w:color="auto" w:fill="FFFFFF"/>
        <w:spacing w:after="0" w:line="276"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H.C. ARMANDO GUTIÉRREZ GONZÁLEZ </w:t>
      </w:r>
    </w:p>
    <w:p w:rsidR="00FD1931" w:rsidRDefault="006879E2">
      <w:pPr>
        <w:shd w:val="clear" w:color="auto" w:fill="FFFFFF"/>
        <w:spacing w:after="0" w:line="276"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Coordinador ponente</w:t>
      </w:r>
    </w:p>
    <w:p w:rsidR="00B032D3" w:rsidRDefault="006879E2">
      <w:pPr>
        <w:shd w:val="clear" w:color="auto" w:fill="FFFFFF"/>
        <w:spacing w:after="0" w:line="276" w:lineRule="auto"/>
        <w:ind w:left="0" w:firstLine="357"/>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H.C. JUAN MANUEL DÍAZ MARTÍNEZ </w:t>
      </w:r>
    </w:p>
    <w:p w:rsidR="00FD1931" w:rsidRDefault="006879E2">
      <w:pPr>
        <w:shd w:val="clear" w:color="auto" w:fill="FFFFFF"/>
        <w:spacing w:after="0" w:line="276"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Ponente</w:t>
      </w:r>
    </w:p>
    <w:p w:rsidR="00FD1931" w:rsidRDefault="00FD1931">
      <w:pPr>
        <w:shd w:val="clear" w:color="auto" w:fill="FFFFFF"/>
        <w:spacing w:after="0" w:line="240" w:lineRule="auto"/>
        <w:ind w:left="0"/>
        <w:rPr>
          <w:rFonts w:ascii="Times New Roman" w:eastAsia="Times New Roman" w:hAnsi="Times New Roman" w:cs="Times New Roman"/>
          <w:sz w:val="24"/>
          <w:szCs w:val="24"/>
        </w:rPr>
      </w:pPr>
    </w:p>
    <w:p w:rsidR="00FD1931" w:rsidRDefault="006879E2">
      <w:pPr>
        <w:shd w:val="clear" w:color="auto" w:fill="FFFFFF"/>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ASUNTO: </w:t>
      </w:r>
      <w:r w:rsidR="00B032D3">
        <w:rPr>
          <w:rFonts w:ascii="Times New Roman" w:eastAsia="Times New Roman" w:hAnsi="Times New Roman" w:cs="Times New Roman"/>
          <w:sz w:val="24"/>
          <w:szCs w:val="24"/>
        </w:rPr>
        <w:t>Desarchivo</w:t>
      </w:r>
      <w:r>
        <w:rPr>
          <w:rFonts w:ascii="Times New Roman" w:eastAsia="Times New Roman" w:hAnsi="Times New Roman" w:cs="Times New Roman"/>
          <w:sz w:val="24"/>
          <w:szCs w:val="24"/>
        </w:rPr>
        <w:t xml:space="preserve"> Ponencia Positiva con Modificaciones al Proyecto de Acuerdo </w:t>
      </w:r>
      <w:bookmarkStart w:id="1" w:name="_GoBack"/>
      <w:r>
        <w:rPr>
          <w:rFonts w:ascii="Times New Roman" w:eastAsia="Times New Roman" w:hAnsi="Times New Roman" w:cs="Times New Roman"/>
          <w:sz w:val="24"/>
          <w:szCs w:val="24"/>
        </w:rPr>
        <w:t>706</w:t>
      </w:r>
      <w:bookmarkEnd w:id="1"/>
      <w:r>
        <w:rPr>
          <w:rFonts w:ascii="Times New Roman" w:eastAsia="Times New Roman" w:hAnsi="Times New Roman" w:cs="Times New Roman"/>
          <w:sz w:val="24"/>
          <w:szCs w:val="24"/>
        </w:rPr>
        <w:t xml:space="preserve"> de 2025 “Por medio del cual se fomenta el mejoramiento de la educación de Bogotá y se dictan otras disposiciones”</w:t>
      </w:r>
      <w:r w:rsidR="00B032D3">
        <w:rPr>
          <w:rFonts w:ascii="Times New Roman" w:eastAsia="Times New Roman" w:hAnsi="Times New Roman" w:cs="Times New Roman"/>
          <w:sz w:val="24"/>
          <w:szCs w:val="24"/>
        </w:rPr>
        <w:t xml:space="preserve"> renumerado como Proyecto de Acuerdo 851 de 2025.</w:t>
      </w:r>
    </w:p>
    <w:p w:rsidR="00FD1931" w:rsidRDefault="006879E2">
      <w:pPr>
        <w:shd w:val="clear" w:color="auto" w:fill="FFFFFF"/>
        <w:spacing w:after="0" w:line="240" w:lineRule="auto"/>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D1931" w:rsidRDefault="006879E2">
      <w:pPr>
        <w:shd w:val="clear" w:color="auto" w:fill="FFFFFF"/>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Respetado Subsecretario, </w:t>
      </w:r>
    </w:p>
    <w:p w:rsidR="00FD1931" w:rsidRDefault="00FD1931">
      <w:pPr>
        <w:shd w:val="clear" w:color="auto" w:fill="FFFFFF"/>
        <w:spacing w:after="0" w:line="240" w:lineRule="auto"/>
        <w:ind w:firstLine="357"/>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De manera atenta, de conformidad a lo establecido en el Parágrafo 1º del artículo  71 del Acuerdo 837 de 2022 “Por el cual se modifica el acuerdo 741 de 2019 y se dictan otras disposiciones” y en cumplimiento con la designación realizada por la Secretaría General a través de memorando </w:t>
      </w:r>
      <w:r w:rsidR="00B032D3">
        <w:rPr>
          <w:rFonts w:ascii="Times New Roman" w:eastAsia="Times New Roman" w:hAnsi="Times New Roman" w:cs="Times New Roman"/>
          <w:sz w:val="24"/>
          <w:szCs w:val="24"/>
        </w:rPr>
        <w:t>2025IE18924 del 20/10/2025</w:t>
      </w:r>
      <w:r>
        <w:rPr>
          <w:rFonts w:ascii="Times New Roman" w:eastAsia="Times New Roman" w:hAnsi="Times New Roman" w:cs="Times New Roman"/>
          <w:sz w:val="24"/>
          <w:szCs w:val="24"/>
        </w:rPr>
        <w:t xml:space="preserve">, nos permitimos </w:t>
      </w:r>
      <w:r w:rsidR="00B032D3">
        <w:rPr>
          <w:rFonts w:ascii="Times New Roman" w:eastAsia="Times New Roman" w:hAnsi="Times New Roman" w:cs="Times New Roman"/>
          <w:sz w:val="24"/>
          <w:szCs w:val="24"/>
        </w:rPr>
        <w:t xml:space="preserve">desarchivar la </w:t>
      </w:r>
      <w:r>
        <w:rPr>
          <w:rFonts w:ascii="Times New Roman" w:eastAsia="Times New Roman" w:hAnsi="Times New Roman" w:cs="Times New Roman"/>
          <w:b/>
          <w:sz w:val="24"/>
          <w:szCs w:val="24"/>
        </w:rPr>
        <w:t>PONENCIA POSITIVA CONJUNTA CON MODIFICACIONES</w:t>
      </w:r>
      <w:r>
        <w:rPr>
          <w:rFonts w:ascii="Times New Roman" w:eastAsia="Times New Roman" w:hAnsi="Times New Roman" w:cs="Times New Roman"/>
          <w:sz w:val="24"/>
          <w:szCs w:val="24"/>
        </w:rPr>
        <w:t xml:space="preserve"> al Proyecto de Acuerdo No. 706 de 2025</w:t>
      </w:r>
      <w:r w:rsidR="00B032D3">
        <w:rPr>
          <w:rFonts w:ascii="Times New Roman" w:eastAsia="Times New Roman" w:hAnsi="Times New Roman" w:cs="Times New Roman"/>
          <w:sz w:val="24"/>
          <w:szCs w:val="24"/>
        </w:rPr>
        <w:t xml:space="preserve"> renumerado como el Proyecto de Acuerdo 851 de 2025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 xml:space="preserve">“POR MEDIO DEL CUAL SE FOMENTA EL MEJORAMIENTO DE LA EDUCACIÓN DE BOGOTÁ Y SE DICTAN OTRAS DISPOSICIONES”. </w:t>
      </w:r>
    </w:p>
    <w:p w:rsidR="00FD1931" w:rsidRDefault="00FD1931">
      <w:pPr>
        <w:spacing w:after="0" w:line="240" w:lineRule="auto"/>
        <w:ind w:left="714" w:firstLine="357"/>
        <w:rPr>
          <w:rFonts w:ascii="Times New Roman" w:eastAsia="Times New Roman" w:hAnsi="Times New Roman" w:cs="Times New Roman"/>
          <w:sz w:val="24"/>
          <w:szCs w:val="24"/>
        </w:rPr>
      </w:pPr>
    </w:p>
    <w:p w:rsidR="00FD1931" w:rsidRDefault="00FD1931">
      <w:pPr>
        <w:spacing w:after="0" w:line="240" w:lineRule="auto"/>
        <w:ind w:left="714" w:firstLine="357"/>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Cordialmente,</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D1931" w:rsidRDefault="00FD1931">
      <w:pPr>
        <w:shd w:val="clear" w:color="auto" w:fill="FFFFFF"/>
        <w:spacing w:after="0" w:line="240" w:lineRule="auto"/>
        <w:ind w:firstLine="357"/>
        <w:rPr>
          <w:i/>
          <w:u w:val="single"/>
        </w:rPr>
      </w:pPr>
    </w:p>
    <w:p w:rsidR="00FD1931" w:rsidRDefault="00FD1931">
      <w:pPr>
        <w:shd w:val="clear" w:color="auto" w:fill="FFFFFF"/>
        <w:spacing w:after="0" w:line="240" w:lineRule="auto"/>
        <w:ind w:firstLine="357"/>
        <w:rPr>
          <w:i/>
          <w:u w:val="single"/>
        </w:rPr>
      </w:pPr>
    </w:p>
    <w:p w:rsidR="00FD1931" w:rsidRDefault="00FD1931">
      <w:pPr>
        <w:shd w:val="clear" w:color="auto" w:fill="FFFFFF"/>
        <w:spacing w:after="0" w:line="240" w:lineRule="auto"/>
        <w:ind w:firstLine="357"/>
        <w:rPr>
          <w:i/>
          <w:u w:val="single"/>
        </w:rPr>
      </w:pPr>
    </w:p>
    <w:p w:rsidR="00FD1931" w:rsidRDefault="00FD1931">
      <w:pPr>
        <w:spacing w:after="0" w:line="240" w:lineRule="auto"/>
        <w:ind w:left="0"/>
        <w:rPr>
          <w:rFonts w:ascii="Times New Roman" w:eastAsia="Times New Roman" w:hAnsi="Times New Roman" w:cs="Times New Roman"/>
          <w:i/>
          <w:u w:val="single"/>
        </w:rPr>
      </w:pPr>
    </w:p>
    <w:p w:rsidR="00FD1931" w:rsidRDefault="006879E2">
      <w:pPr>
        <w:spacing w:after="0" w:line="240" w:lineRule="auto"/>
        <w:ind w:left="0"/>
        <w:rPr>
          <w:rFonts w:ascii="Times New Roman" w:eastAsia="Times New Roman" w:hAnsi="Times New Roman" w:cs="Times New Roman"/>
          <w:b/>
        </w:rPr>
      </w:pPr>
      <w:r>
        <w:rPr>
          <w:rFonts w:ascii="Times New Roman" w:eastAsia="Times New Roman" w:hAnsi="Times New Roman" w:cs="Times New Roman"/>
          <w:b/>
        </w:rPr>
        <w:t xml:space="preserve">ARMANDO GUTIÉRREZ GONZÁLEZ            JUAN MANUEL DÍAZ MARTÍNEZ    </w:t>
      </w:r>
    </w:p>
    <w:p w:rsidR="00FD1931" w:rsidRDefault="006879E2">
      <w:pPr>
        <w:spacing w:after="0" w:line="276" w:lineRule="auto"/>
        <w:ind w:left="0"/>
        <w:rPr>
          <w:rFonts w:ascii="Times New Roman" w:eastAsia="Times New Roman" w:hAnsi="Times New Roman" w:cs="Times New Roman"/>
        </w:rPr>
      </w:pPr>
      <w:r>
        <w:rPr>
          <w:rFonts w:ascii="Times New Roman" w:eastAsia="Times New Roman" w:hAnsi="Times New Roman" w:cs="Times New Roman"/>
        </w:rPr>
        <w:t xml:space="preserve">Concejal de Bogotá, D.C.                                         Concejal de Bogotá, D.C.    </w:t>
      </w:r>
    </w:p>
    <w:p w:rsidR="00FD1931" w:rsidRDefault="006879E2">
      <w:pPr>
        <w:spacing w:after="0" w:line="276" w:lineRule="auto"/>
        <w:ind w:left="0"/>
        <w:rPr>
          <w:rFonts w:ascii="Times New Roman" w:eastAsia="Times New Roman" w:hAnsi="Times New Roman" w:cs="Times New Roman"/>
        </w:rPr>
      </w:pPr>
      <w:r>
        <w:rPr>
          <w:rFonts w:ascii="Times New Roman" w:eastAsia="Times New Roman" w:hAnsi="Times New Roman" w:cs="Times New Roman"/>
        </w:rPr>
        <w:t>Partido Liberal Colombiano.                                    Partido Nuevo Liberalismo</w:t>
      </w:r>
    </w:p>
    <w:p w:rsidR="00FD1931" w:rsidRDefault="006879E2">
      <w:pPr>
        <w:spacing w:after="0" w:line="276" w:lineRule="auto"/>
        <w:ind w:left="0"/>
        <w:rPr>
          <w:rFonts w:ascii="Times New Roman" w:eastAsia="Times New Roman" w:hAnsi="Times New Roman" w:cs="Times New Roman"/>
          <w:b/>
        </w:rPr>
      </w:pPr>
      <w:r>
        <w:rPr>
          <w:rFonts w:ascii="Times New Roman" w:eastAsia="Times New Roman" w:hAnsi="Times New Roman" w:cs="Times New Roman"/>
        </w:rPr>
        <w:t xml:space="preserve">Coordinador Ponente.                                               Ponente. </w:t>
      </w:r>
    </w:p>
    <w:p w:rsidR="00FD1931" w:rsidRDefault="00FD1931">
      <w:pPr>
        <w:spacing w:after="0" w:line="240" w:lineRule="auto"/>
        <w:ind w:left="0"/>
        <w:rPr>
          <w:rFonts w:ascii="Times New Roman" w:eastAsia="Times New Roman" w:hAnsi="Times New Roman" w:cs="Times New Roman"/>
          <w:b/>
          <w:sz w:val="24"/>
          <w:szCs w:val="24"/>
        </w:rPr>
      </w:pPr>
    </w:p>
    <w:p w:rsidR="00FD1931" w:rsidRDefault="00FD1931">
      <w:pPr>
        <w:spacing w:after="0" w:line="240" w:lineRule="auto"/>
        <w:ind w:left="0"/>
        <w:rPr>
          <w:rFonts w:ascii="Times New Roman" w:eastAsia="Times New Roman" w:hAnsi="Times New Roman" w:cs="Times New Roman"/>
          <w:b/>
          <w:sz w:val="24"/>
          <w:szCs w:val="24"/>
        </w:rPr>
      </w:pPr>
    </w:p>
    <w:p w:rsidR="00FD1931" w:rsidRDefault="00FD1931">
      <w:pPr>
        <w:spacing w:after="0" w:line="240" w:lineRule="auto"/>
        <w:ind w:left="0"/>
        <w:rPr>
          <w:rFonts w:ascii="Times New Roman" w:eastAsia="Times New Roman" w:hAnsi="Times New Roman" w:cs="Times New Roman"/>
          <w:b/>
          <w:sz w:val="24"/>
          <w:szCs w:val="24"/>
        </w:rPr>
      </w:pPr>
    </w:p>
    <w:p w:rsidR="00FD1931" w:rsidRDefault="00FD1931">
      <w:pPr>
        <w:spacing w:after="0" w:line="240" w:lineRule="auto"/>
        <w:ind w:left="0"/>
        <w:rPr>
          <w:rFonts w:ascii="Times New Roman" w:eastAsia="Times New Roman" w:hAnsi="Times New Roman" w:cs="Times New Roman"/>
          <w:b/>
          <w:sz w:val="24"/>
          <w:szCs w:val="24"/>
        </w:rPr>
      </w:pPr>
    </w:p>
    <w:p w:rsidR="00FD1931" w:rsidRDefault="006879E2">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PONENCIA PROYECTO DE ACUERDO N° </w:t>
      </w:r>
      <w:r w:rsidR="00B032D3">
        <w:rPr>
          <w:rFonts w:ascii="Times New Roman" w:eastAsia="Times New Roman" w:hAnsi="Times New Roman" w:cs="Times New Roman"/>
          <w:b/>
          <w:sz w:val="24"/>
          <w:szCs w:val="24"/>
        </w:rPr>
        <w:t>851</w:t>
      </w:r>
      <w:r>
        <w:rPr>
          <w:rFonts w:ascii="Times New Roman" w:eastAsia="Times New Roman" w:hAnsi="Times New Roman" w:cs="Times New Roman"/>
          <w:b/>
          <w:sz w:val="24"/>
          <w:szCs w:val="24"/>
        </w:rPr>
        <w:t xml:space="preserve"> DE 2025</w:t>
      </w:r>
    </w:p>
    <w:p w:rsidR="00FD1931" w:rsidRDefault="00FD1931">
      <w:pPr>
        <w:spacing w:after="0" w:line="240" w:lineRule="auto"/>
        <w:ind w:left="0"/>
        <w:jc w:val="center"/>
        <w:rPr>
          <w:rFonts w:ascii="Times New Roman" w:eastAsia="Times New Roman" w:hAnsi="Times New Roman" w:cs="Times New Roman"/>
          <w:b/>
          <w:sz w:val="24"/>
          <w:szCs w:val="24"/>
        </w:rPr>
      </w:pPr>
    </w:p>
    <w:p w:rsidR="00FD1931" w:rsidRDefault="006879E2">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“POR MEDIO DEL CUAL SE FOMENTA EL MEJORAMIENTO DE LA EDUCACIÓN DE BOGOTÁ Y SE DICTAN OTRAS DISPOSICIONES”</w:t>
      </w:r>
    </w:p>
    <w:p w:rsidR="00FD1931" w:rsidRDefault="006879E2">
      <w:pPr>
        <w:spacing w:after="0" w:line="240" w:lineRule="auto"/>
        <w:ind w:left="0"/>
        <w:jc w:val="lef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p>
    <w:p w:rsidR="00FD1931" w:rsidRDefault="00FD1931">
      <w:pPr>
        <w:spacing w:after="0" w:line="240" w:lineRule="auto"/>
        <w:ind w:left="0"/>
        <w:jc w:val="center"/>
        <w:rPr>
          <w:rFonts w:ascii="Times New Roman" w:eastAsia="Times New Roman" w:hAnsi="Times New Roman" w:cs="Times New Roman"/>
          <w:b/>
          <w:sz w:val="24"/>
          <w:szCs w:val="24"/>
        </w:rPr>
      </w:pPr>
    </w:p>
    <w:p w:rsidR="00FD1931" w:rsidRDefault="006879E2">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OBJETO DEL PROYECTO DE ACUERDO</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b/>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Conforme lo indicado por los Honorables Concejales autores del proyecto, Jesús David Araque Mejía y Daniel Felipe Briceño Montes, el objeto del mismo es dictar lineamientos a la Secretaría de Educación del Distrito para la creación de incentivos a la comunidad educativa con el fin de promover el mejoramiento de la calidad de la educación y fortalecer la permanencia escolar en las aulas.</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2. ANTECEDENTES</w:t>
      </w:r>
    </w:p>
    <w:p w:rsidR="00FD1931" w:rsidRDefault="00FD1931">
      <w:pPr>
        <w:spacing w:after="0" w:line="240" w:lineRule="auto"/>
        <w:ind w:left="360"/>
        <w:rPr>
          <w:rFonts w:ascii="Times New Roman" w:eastAsia="Times New Roman" w:hAnsi="Times New Roman" w:cs="Times New Roman"/>
          <w:b/>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iniciativa, puesta a consideración del Cabildo Distrital, es presentada por primera vez para su estudio y aprobación.</w:t>
      </w:r>
    </w:p>
    <w:p w:rsidR="00FD1931" w:rsidRDefault="00FD1931">
      <w:pPr>
        <w:spacing w:after="0" w:line="240" w:lineRule="auto"/>
        <w:ind w:left="0"/>
        <w:rPr>
          <w:rFonts w:ascii="Times New Roman" w:eastAsia="Times New Roman" w:hAnsi="Times New Roman" w:cs="Times New Roman"/>
          <w:b/>
          <w:sz w:val="24"/>
          <w:szCs w:val="24"/>
        </w:rPr>
      </w:pP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pBdr>
          <w:top w:val="nil"/>
          <w:left w:val="nil"/>
          <w:bottom w:val="nil"/>
          <w:right w:val="nil"/>
          <w:between w:val="nil"/>
        </w:pBdr>
        <w:spacing w:after="0" w:line="240" w:lineRule="auto"/>
        <w:ind w:left="283"/>
        <w:rPr>
          <w:rFonts w:ascii="Times New Roman" w:eastAsia="Times New Roman" w:hAnsi="Times New Roman" w:cs="Times New Roman"/>
          <w:b/>
          <w:sz w:val="24"/>
          <w:szCs w:val="24"/>
        </w:rPr>
      </w:pPr>
      <w:r>
        <w:rPr>
          <w:rFonts w:ascii="Times New Roman" w:eastAsia="Times New Roman" w:hAnsi="Times New Roman" w:cs="Times New Roman"/>
          <w:b/>
          <w:sz w:val="24"/>
          <w:szCs w:val="24"/>
        </w:rPr>
        <w:t>3. JUSTIFICACIÓN DEL AUTOR PARA PRESENTAR EL PROYECTO DE ACUERDO</w:t>
      </w:r>
      <w:r>
        <w:rPr>
          <w:rFonts w:ascii="Times New Roman" w:eastAsia="Times New Roman" w:hAnsi="Times New Roman" w:cs="Times New Roman"/>
          <w:b/>
          <w:sz w:val="24"/>
          <w:szCs w:val="24"/>
        </w:rPr>
        <w:br/>
      </w: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Conforme a lo establecido por los autores, el Acuerdo Distrital 273 de 2007 sentó un precedente al establecer mecanismos para reconocer a instituciones educativas, docentes, directivos y estudiantes con altos niveles de desempeño. Sin embargo, las transformaciones del sistema educativo, los enfoques de equidad e inclusión y la necesidad de ampliar los criterios de calidad más allá del rendimiento académico, hacen necesario actualizar y ampliar dicho instrumento.</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evidencia nacional e internacional ha demostrado que los sistemas educativos que reconocen adecuadamente a sus actores, tienden a alcanzar mayores niveles de mejora continua y resultados sostenibles en el tiempo. El reconocimiento profesional y las oportunidades de desarrollo generan efectos positivos sobre la motivación, la innovación pedagógica y la permanencia de maestros altamente calificados.</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También se puede contribuir al cierre de brechas para avanzar en la equidad territorial y social. Al ofrecer incentivos económicos diferenciados en contextos de mayor vulnerabilidad, se promueve una distribución más equitativa del talento docente, mejorando las oportunidades de aprendizaje en los territorios más rezagados, avanzando también en el cumplimiento de los mandatos constitucionales de equidad y calidad.</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Asimismo, el reconocimiento a estudiantes por su participación, liderazgo y compromiso con el aprendizaje impacta de forma positiva en su desarrollo socioemocional, motivación académica y sentido de pertenencia frente a la institución. El reconocimiento institucional </w:t>
      </w:r>
      <w:r>
        <w:rPr>
          <w:rFonts w:ascii="Times New Roman" w:eastAsia="Times New Roman" w:hAnsi="Times New Roman" w:cs="Times New Roman"/>
          <w:sz w:val="24"/>
          <w:szCs w:val="24"/>
        </w:rPr>
        <w:lastRenderedPageBreak/>
        <w:t xml:space="preserve">fortalece la identidad escolar, el sentido de comunidad educativa y el trabajo colaborativo entre docentes, directivos y estudiantes.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Finalmente, el proyecto de acuerdo se alinea con la política de mejoramiento continuo y cierre de brechas del Distrito, la política de educación inicial en el marco de la atención integral, los avances en el enfoque de educación inclusiva, la estrategia de trayectorias completas, el fortalecimiento de los ecosistemas de educación terciaria y el reconocimiento a la labor docente.</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4. MARCO JURÍDICO</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Conforme a lo expuesto en la iniciativa, se resume el marco jurídico de la siguiente forma: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i/>
          <w:sz w:val="24"/>
          <w:szCs w:val="24"/>
        </w:rPr>
      </w:pPr>
    </w:p>
    <w:sdt>
      <w:sdtPr>
        <w:tag w:val="goog_rdk_0"/>
        <w:id w:val="-2058745733"/>
        <w:lock w:val="contentLocked"/>
      </w:sdtPr>
      <w:sdtEndPr/>
      <w:sdtContent>
        <w:tbl>
          <w:tblPr>
            <w:tblStyle w:val="a9"/>
            <w:tblW w:w="849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35"/>
            <w:gridCol w:w="6855"/>
          </w:tblGrid>
          <w:tr w:rsidR="00FD1931">
            <w:trPr>
              <w:trHeight w:val="515"/>
            </w:trPr>
            <w:tc>
              <w:tcPr>
                <w:tcW w:w="1635" w:type="dxa"/>
                <w:shd w:val="clear" w:color="auto" w:fill="auto"/>
                <w:tcMar>
                  <w:top w:w="100" w:type="dxa"/>
                  <w:left w:w="100" w:type="dxa"/>
                  <w:bottom w:w="100" w:type="dxa"/>
                  <w:right w:w="100" w:type="dxa"/>
                </w:tcMar>
              </w:tcPr>
              <w:p w:rsidR="00FD1931" w:rsidRDefault="006879E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r>
                  <w:rPr>
                    <w:rFonts w:ascii="Times New Roman" w:eastAsia="Times New Roman" w:hAnsi="Times New Roman" w:cs="Times New Roman"/>
                    <w:b/>
                    <w:sz w:val="20"/>
                    <w:szCs w:val="20"/>
                  </w:rPr>
                  <w:t>ORDEN</w:t>
                </w:r>
              </w:p>
            </w:tc>
            <w:tc>
              <w:tcPr>
                <w:tcW w:w="6855" w:type="dxa"/>
                <w:shd w:val="clear" w:color="auto" w:fill="auto"/>
                <w:tcMar>
                  <w:top w:w="100" w:type="dxa"/>
                  <w:left w:w="100" w:type="dxa"/>
                  <w:bottom w:w="100" w:type="dxa"/>
                  <w:right w:w="100" w:type="dxa"/>
                </w:tcMar>
              </w:tcPr>
              <w:p w:rsidR="00FD1931" w:rsidRDefault="006879E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DISPOSICIONES </w:t>
                </w:r>
              </w:p>
            </w:tc>
          </w:tr>
          <w:tr w:rsidR="00FD1931">
            <w:tc>
              <w:tcPr>
                <w:tcW w:w="1635" w:type="dxa"/>
                <w:shd w:val="clear" w:color="auto" w:fill="auto"/>
                <w:tcMar>
                  <w:top w:w="100" w:type="dxa"/>
                  <w:left w:w="100" w:type="dxa"/>
                  <w:bottom w:w="100" w:type="dxa"/>
                  <w:right w:w="100" w:type="dxa"/>
                </w:tcMar>
              </w:tcPr>
              <w:p w:rsidR="00FD1931" w:rsidRDefault="006879E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t xml:space="preserve">CONSTITUCIONAL </w:t>
                </w:r>
              </w:p>
            </w:tc>
            <w:tc>
              <w:tcPr>
                <w:tcW w:w="685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44.</w:t>
                </w:r>
                <w:r>
                  <w:rPr>
                    <w:rFonts w:ascii="Times New Roman" w:eastAsia="Times New Roman" w:hAnsi="Times New Roman" w:cs="Times New Roman"/>
                    <w:sz w:val="20"/>
                    <w:szCs w:val="20"/>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r>
                  <w:rPr>
                    <w:rFonts w:ascii="Times New Roman" w:eastAsia="Times New Roman" w:hAnsi="Times New Roman" w:cs="Times New Roman"/>
                    <w:sz w:val="20"/>
                    <w:szCs w:val="20"/>
                  </w:rPr>
                  <w:br/>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w:t>
                </w:r>
                <w:r>
                  <w:rPr>
                    <w:rFonts w:ascii="Times New Roman" w:eastAsia="Times New Roman" w:hAnsi="Times New Roman" w:cs="Times New Roman"/>
                    <w:sz w:val="20"/>
                    <w:szCs w:val="20"/>
                  </w:rPr>
                  <w:br/>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Los derechos de los niños prevalecen sobre los derechos de los demás. </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67.</w:t>
                </w:r>
                <w:r>
                  <w:rPr>
                    <w:rFonts w:ascii="Times New Roman" w:eastAsia="Times New Roman" w:hAnsi="Times New Roman" w:cs="Times New Roman"/>
                    <w:sz w:val="20"/>
                    <w:szCs w:val="20"/>
                  </w:rPr>
                  <w:t xml:space="preserve"> La educación es un derecho de la persona y un servicio público que tiene una función social: con ella se busca el acceso al conocimiento, a la ciencia, a la técnica, y a los demás bienes y valores de la cultura.</w:t>
                </w:r>
                <w:r>
                  <w:rPr>
                    <w:rFonts w:ascii="Times New Roman" w:eastAsia="Times New Roman" w:hAnsi="Times New Roman" w:cs="Times New Roman"/>
                    <w:sz w:val="20"/>
                    <w:szCs w:val="20"/>
                  </w:rPr>
                  <w:br/>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La educación formará al colombiano en el respeto a los derechos humanos, a la paz y a la democracia; y en la práctica del trabajo y la recreación, para el mejoramiento cultural, científico, tecnológico y para la protección del ambiente.</w:t>
                </w:r>
                <w:r>
                  <w:rPr>
                    <w:rFonts w:ascii="Times New Roman" w:eastAsia="Times New Roman" w:hAnsi="Times New Roman" w:cs="Times New Roman"/>
                    <w:sz w:val="20"/>
                    <w:szCs w:val="20"/>
                  </w:rPr>
                  <w:br/>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El Estado, la sociedad y la familia son responsables de la educación, que será obligatoria entre los cinco y los quince años de edad y que comprenderá como mínimo, un año de preescolar y nueve de educación básica. </w:t>
                </w:r>
                <w:r>
                  <w:rPr>
                    <w:rFonts w:ascii="Times New Roman" w:eastAsia="Times New Roman" w:hAnsi="Times New Roman" w:cs="Times New Roman"/>
                    <w:sz w:val="20"/>
                    <w:szCs w:val="20"/>
                  </w:rPr>
                  <w:br/>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La educación será gratuita en las instituciones del Estado, sin perjuicio del cobro de derechos académicos a quienes puedan sufragarlos. </w:t>
                </w:r>
                <w:r>
                  <w:rPr>
                    <w:rFonts w:ascii="Times New Roman" w:eastAsia="Times New Roman" w:hAnsi="Times New Roman" w:cs="Times New Roman"/>
                    <w:sz w:val="20"/>
                    <w:szCs w:val="20"/>
                  </w:rPr>
                  <w:br/>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w:t>
                </w:r>
                <w:r>
                  <w:rPr>
                    <w:rFonts w:ascii="Times New Roman" w:eastAsia="Times New Roman" w:hAnsi="Times New Roman" w:cs="Times New Roman"/>
                    <w:sz w:val="20"/>
                    <w:szCs w:val="20"/>
                  </w:rPr>
                  <w:lastRenderedPageBreak/>
                  <w:t>necesarias para su acceso y permanencia en el sistema educativo.</w:t>
                </w:r>
                <w:r>
                  <w:rPr>
                    <w:rFonts w:ascii="Times New Roman" w:eastAsia="Times New Roman" w:hAnsi="Times New Roman" w:cs="Times New Roman"/>
                    <w:sz w:val="20"/>
                    <w:szCs w:val="20"/>
                  </w:rPr>
                  <w:br/>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La Nación y las entidades territoriales participarán en la dirección, financiación y administración de los servicios educativos estatales, en los términos que señalen la Constitución y la ley. </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366.</w:t>
                </w:r>
                <w:r>
                  <w:rPr>
                    <w:rFonts w:ascii="Times New Roman" w:eastAsia="Times New Roman" w:hAnsi="Times New Roman" w:cs="Times New Roman"/>
                    <w:sz w:val="20"/>
                    <w:szCs w:val="20"/>
                  </w:rPr>
                  <w:t xml:space="preserve"> El bienestar general y el mejoramiento de la calidad de vida de la población son finalidades sociales del Estado. Será objetivo fundamental de su actividad la solución de las necesidades insatisfechas (…) de educación (…).</w:t>
                </w:r>
                <w:r>
                  <w:rPr>
                    <w:rFonts w:ascii="Times New Roman" w:eastAsia="Times New Roman" w:hAnsi="Times New Roman" w:cs="Times New Roman"/>
                    <w:sz w:val="20"/>
                    <w:szCs w:val="20"/>
                  </w:rPr>
                  <w:br/>
                </w:r>
              </w:p>
              <w:p w:rsidR="00FD1931" w:rsidRDefault="006879E2">
                <w:pPr>
                  <w:widowControl w:val="0"/>
                  <w:spacing w:after="0" w:line="240" w:lineRule="auto"/>
                  <w:ind w:left="0"/>
                  <w:rPr>
                    <w:rFonts w:ascii="Times New Roman" w:eastAsia="Times New Roman" w:hAnsi="Times New Roman" w:cs="Times New Roman"/>
                    <w:i/>
                    <w:sz w:val="20"/>
                    <w:szCs w:val="20"/>
                  </w:rPr>
                </w:pPr>
                <w:r>
                  <w:rPr>
                    <w:rFonts w:ascii="Times New Roman" w:eastAsia="Times New Roman" w:hAnsi="Times New Roman" w:cs="Times New Roman"/>
                    <w:sz w:val="20"/>
                    <w:szCs w:val="20"/>
                  </w:rPr>
                  <w:t>Para tales efectos, en los planes y presupuestos de la Nación y de las entidades territoriales, el gasto público social tendrá prioridad sobre cualquier otra asignación.</w:t>
                </w:r>
              </w:p>
            </w:tc>
          </w:tr>
          <w:tr w:rsidR="00FD1931">
            <w:tc>
              <w:tcPr>
                <w:tcW w:w="1635" w:type="dxa"/>
                <w:shd w:val="clear" w:color="auto" w:fill="auto"/>
                <w:tcMar>
                  <w:top w:w="100" w:type="dxa"/>
                  <w:left w:w="100" w:type="dxa"/>
                  <w:bottom w:w="100" w:type="dxa"/>
                  <w:right w:w="100" w:type="dxa"/>
                </w:tcMar>
              </w:tcPr>
              <w:p w:rsidR="00FD1931" w:rsidRDefault="006879E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 xml:space="preserve">LEGAL </w:t>
                </w:r>
              </w:p>
            </w:tc>
            <w:tc>
              <w:tcPr>
                <w:tcW w:w="685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Ley 115 de 1994 “Por la cual se expide la ley general de educación”</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1. Objeto de la ley</w:t>
                </w:r>
                <w:r>
                  <w:rPr>
                    <w:rFonts w:ascii="Times New Roman" w:eastAsia="Times New Roman" w:hAnsi="Times New Roman" w:cs="Times New Roman"/>
                    <w:sz w:val="20"/>
                    <w:szCs w:val="20"/>
                  </w:rPr>
                  <w:t>: La educación es un proceso de formación permanente, personal, cultural y social que se fundamenta en una concepción integral de la persona humana, de su dignidad, de sus derechos y de sus deberes.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La presente Ley señala las normas generales para regular el Servicio Público de la Educación que cumple una función social acorde con las necesidades e intereses de las personas, de la familia y de la sociedad. Se fundamenta en los principios de la Constitución Política sobre el derecho a la educación que tiene toda persona, en las libertades de enseñanza, aprendizaje, investigación y cátedra y en su carácter de servicio público. </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De conformidad con el artículo 67 de la Constitución Política, define y desarrolla la organización y la prestación de la educación formal en sus niveles preescolar, básica (primaria y secundaria) y media, educación para el trabajo y el desarrollo humano e informal, dirigida a niños y jóvenes en edad escolar, a adultos, a campesinos, a grupos étnicos, personas en situación de discapacidad física, psíquica y sensorial, con capacidades excepcionales, y a personas que requieran rehabilitación social.</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4. Calidad y cubrimiento del servicio.</w:t>
                </w:r>
                <w:r>
                  <w:rPr>
                    <w:rFonts w:ascii="Times New Roman" w:eastAsia="Times New Roman" w:hAnsi="Times New Roman" w:cs="Times New Roman"/>
                    <w:sz w:val="20"/>
                    <w:szCs w:val="20"/>
                  </w:rPr>
                  <w:t xml:space="preserve"> Corresponde al Estado, a la sociedad y a la familia velar por la calidad de la educación y promover el acceso al servicio público educativo, y es responsabilidad de la Nación y de las entidades territoriales, garantizar su cubrimiento. </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El Estado deberá atender en forma permanente los factores que favorecen la calidad y el mejoramiento de la educación; especialmente velará por la cualificación y formación de los educadores, la promoción docente, los recursos y métodos educativos, la innovación e investigación educativa, la orientación educativa y profesional, la inspección y evaluación del proceso educativo.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5. Fines de la Educación.</w:t>
                </w:r>
                <w:r>
                  <w:rPr>
                    <w:rFonts w:ascii="Times New Roman" w:eastAsia="Times New Roman" w:hAnsi="Times New Roman" w:cs="Times New Roman"/>
                    <w:sz w:val="20"/>
                    <w:szCs w:val="20"/>
                  </w:rPr>
                  <w:t xml:space="preserve"> De conformidad con el artículo 67 de la Constitución Política, la educación se desarrollará atendiendo a los siguientes fines: </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7. El acceso al conocimiento, la ciencia, la técnica y demás bienes y valores de la cultura, el fomento de la investigación y el estímulo a la creación artística en sus diferentes manifestaciones.”</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192. Incentivos de Capacitación y Profesionalización.</w:t>
                </w:r>
                <w:r>
                  <w:rPr>
                    <w:rFonts w:ascii="Times New Roman" w:eastAsia="Times New Roman" w:hAnsi="Times New Roman" w:cs="Times New Roman"/>
                    <w:sz w:val="20"/>
                    <w:szCs w:val="20"/>
                  </w:rPr>
                  <w:t xml:space="preserve"> La Nación y las entidades territoriales podrán crear incentivos de capacitación, profesionalización y otros para los docentes y directivos docentes, cuyas instituciones y educandos se destaquen en los procesos evaluativos que se convoquen para el efecto. </w:t>
                </w:r>
              </w:p>
              <w:p w:rsidR="00FD1931" w:rsidRDefault="006879E2">
                <w:pPr>
                  <w:widowControl w:val="0"/>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Ley 715 de 2001 “Por la cual se dictan normas orgánicas en materia de recursos y competencias de conformidad con los artículos 151, 288, 356 y 357 (acto legislativo 01 de 2001) de la constitución política y se dictan otras disposiciones </w:t>
                </w:r>
                <w:r>
                  <w:rPr>
                    <w:rFonts w:ascii="Times New Roman" w:eastAsia="Times New Roman" w:hAnsi="Times New Roman" w:cs="Times New Roman"/>
                    <w:b/>
                    <w:sz w:val="20"/>
                    <w:szCs w:val="20"/>
                  </w:rPr>
                  <w:lastRenderedPageBreak/>
                  <w:t>para organizar la prestación de los servicios de educación y salud, entre otros.”</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10. funciones de rectores o directores. </w:t>
                </w:r>
                <w:r>
                  <w:rPr>
                    <w:rFonts w:ascii="Times New Roman" w:eastAsia="Times New Roman" w:hAnsi="Times New Roman" w:cs="Times New Roman"/>
                    <w:sz w:val="20"/>
                    <w:szCs w:val="20"/>
                  </w:rPr>
                  <w:t xml:space="preserve">El rector o director de las instituciones educativas públicas, que serán designados por concurso, además de las funciones señaladas en otras normas, tendrá las siguientes: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10.16. Administrar el Fondo de Servicios Educativos y los recursos que por incentivos se le asignen, en los términos de la presente ley.”</w:t>
                </w:r>
              </w:p>
            </w:tc>
          </w:tr>
          <w:tr w:rsidR="00FD1931">
            <w:tc>
              <w:tcPr>
                <w:tcW w:w="1635" w:type="dxa"/>
                <w:shd w:val="clear" w:color="auto" w:fill="auto"/>
                <w:tcMar>
                  <w:top w:w="100" w:type="dxa"/>
                  <w:left w:w="100" w:type="dxa"/>
                  <w:bottom w:w="100" w:type="dxa"/>
                  <w:right w:w="100" w:type="dxa"/>
                </w:tcMar>
              </w:tcPr>
              <w:p w:rsidR="00FD1931" w:rsidRDefault="006879E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lastRenderedPageBreak/>
                  <w:t>REGLAMENTARIO</w:t>
                </w:r>
              </w:p>
            </w:tc>
            <w:tc>
              <w:tcPr>
                <w:tcW w:w="685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Decreto 1075 de 2015 “Por medio del cual se expide el Decreto Único Reglamentario del sector educación”</w:t>
                </w:r>
              </w:p>
              <w:p w:rsidR="00FD1931" w:rsidRDefault="00FD1931">
                <w:pPr>
                  <w:widowControl w:val="0"/>
                  <w:spacing w:after="0" w:line="240" w:lineRule="auto"/>
                  <w:ind w:left="0"/>
                  <w:rPr>
                    <w:rFonts w:ascii="Times New Roman" w:eastAsia="Times New Roman" w:hAnsi="Times New Roman" w:cs="Times New Roman"/>
                    <w:b/>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2.3.1.6.4.2. Alcance de la gratuidad educativa.</w:t>
                </w:r>
                <w:r>
                  <w:rPr>
                    <w:rFonts w:ascii="Times New Roman" w:eastAsia="Times New Roman" w:hAnsi="Times New Roman" w:cs="Times New Roman"/>
                    <w:sz w:val="20"/>
                    <w:szCs w:val="20"/>
                  </w:rPr>
                  <w:t xml:space="preserve"> La gratuidad educativa se entiende como la exención del pago de derechos académicos y servicios complementarios. En consecuencia, las instituciones educativas estatales no podrán realizar ningún cobro por derechos académicos o servicios complementarios.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 1.</w:t>
                </w:r>
                <w:r>
                  <w:rPr>
                    <w:rFonts w:ascii="Times New Roman" w:eastAsia="Times New Roman" w:hAnsi="Times New Roman" w:cs="Times New Roman"/>
                    <w:sz w:val="20"/>
                    <w:szCs w:val="20"/>
                  </w:rPr>
                  <w:t xml:space="preserve"> Para la asignación de los recursos de gratuidad se excluyen de los beneficiarios a los estudiantes de ciclos 1, 2, 3, 4, 5 y 6 de educación para adultos, el ciclo complementario de las escuelas normales superiores, grados 12 y 13, y a estudiantes atendidos en instituciones educativas estatales que no son financiados con recursos del Sistema General de Participaciones.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 2.</w:t>
                </w:r>
                <w:r>
                  <w:rPr>
                    <w:rFonts w:ascii="Times New Roman" w:eastAsia="Times New Roman" w:hAnsi="Times New Roman" w:cs="Times New Roman"/>
                    <w:sz w:val="20"/>
                    <w:szCs w:val="20"/>
                  </w:rPr>
                  <w:t xml:space="preserve"> Los estudiantes atendidos mediante la contratación de la prestación del servicio educativo, en cualquiera de sus modalidades contractuales, no se encuentran incluidos en la asignación de recursos de gratuidad de que trata la presente Sección, pues dichos recursos se incluyen en el valor pagado al prestador del servicio por la atención educativa de estos estudiantes. En consecuencia, el prestador del servicio educativo contratado no podrá realizar cobros a la población atendida por conceptos de derechos académicos, servicios complementarios, o por alguno de los componentes de la canasta educativa ofrecida o cualquier otro concepto.</w:t>
                </w:r>
              </w:p>
            </w:tc>
          </w:tr>
          <w:tr w:rsidR="00FD1931">
            <w:tc>
              <w:tcPr>
                <w:tcW w:w="1635" w:type="dxa"/>
                <w:shd w:val="clear" w:color="auto" w:fill="auto"/>
                <w:tcMar>
                  <w:top w:w="100" w:type="dxa"/>
                  <w:left w:w="100" w:type="dxa"/>
                  <w:bottom w:w="100" w:type="dxa"/>
                  <w:right w:w="100" w:type="dxa"/>
                </w:tcMar>
              </w:tcPr>
              <w:p w:rsidR="00FD1931" w:rsidRDefault="006879E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DISTRITAL</w:t>
                </w:r>
              </w:p>
            </w:tc>
            <w:tc>
              <w:tcPr>
                <w:tcW w:w="685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Decreto Distrital 273 de 2020 “Por medio del cual se crea la Agencia Distrital para la Educación Superior, la Ciencia y la Tecnología “atenea” y se dictan otras disposiciones”</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6. Funciones.</w:t>
                </w:r>
                <w:r>
                  <w:rPr>
                    <w:rFonts w:ascii="Times New Roman" w:eastAsia="Times New Roman" w:hAnsi="Times New Roman" w:cs="Times New Roman"/>
                    <w:sz w:val="20"/>
                    <w:szCs w:val="20"/>
                  </w:rPr>
                  <w:t xml:space="preserve"> La Agencia Distrital para la Educación Superior, la Ciencia y la Tecnología “Atenea” ejercerá las siguientes funciones:</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“1. Liderar, acompañar y dar soporte técnico en la formulación y ejecución de las políticas, planes, programas y proyectos distritales de acceso, permanencia y pertinencia de la educación post-media. (…)</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5. Gestionar y ejecutar estrategias de financiamiento público y/o privado, para promover el acceso, permanencia y articulación en educación post-media, la cual incluye la formación para el trabajo, la educación informal, la educación superior y la certificación de competencias, privilegiando la oferta pública.”</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Decreto Distrital 310 de 2022 “Por el cual se modifica la estructura organizacional y las funciones de la Secretaría de Educación del Distrito”</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3. Funciones.</w:t>
                </w:r>
                <w:r>
                  <w:rPr>
                    <w:rFonts w:ascii="Times New Roman" w:eastAsia="Times New Roman" w:hAnsi="Times New Roman" w:cs="Times New Roman"/>
                    <w:sz w:val="20"/>
                    <w:szCs w:val="20"/>
                  </w:rPr>
                  <w:t xml:space="preserve"> Corresponde a la Secretaría de Educación del Distrito ejercer, de conformidad con el Decreto Ley 1421 de 1993, el Acuerdo 257 de 2006, y con las políticas y metas fijadas por el Plan de Desarrollo Distrital y el Plan Sectorial de Educación, las siguientes funciones:</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A. Formular, orientar y coordinar las políticas y planes del Sector Educación, en concordancia con el Plan de Desarrollo Distrital, el Plan Sectorial de Educación, el Acuerdo 257 de 2006 y las demás normas legales del orden nacional.</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B. Desarrollar estrategias que garanticen el acceso y permanencia de los niños, niñas y jóvenes en el sistema educativo, así como la pertinencia, calidad y equidad de la educación en sus diferentes formas, niveles y modalidades.</w:t>
                </w:r>
              </w:p>
            </w:tc>
          </w:tr>
          <w:tr w:rsidR="00FD1931">
            <w:tc>
              <w:tcPr>
                <w:tcW w:w="1635" w:type="dxa"/>
                <w:shd w:val="clear" w:color="auto" w:fill="auto"/>
                <w:tcMar>
                  <w:top w:w="100" w:type="dxa"/>
                  <w:left w:w="100" w:type="dxa"/>
                  <w:bottom w:w="100" w:type="dxa"/>
                  <w:right w:w="100" w:type="dxa"/>
                </w:tcMar>
              </w:tcPr>
              <w:p w:rsidR="00FD1931" w:rsidRDefault="006879E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lastRenderedPageBreak/>
                  <w:t xml:space="preserve">JURISPRUDENCIA </w:t>
                </w:r>
              </w:p>
            </w:tc>
            <w:tc>
              <w:tcPr>
                <w:tcW w:w="685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Sentencia C-376 de 2010 – Gratuidad Educativa y Acceso Efectivo</w:t>
                </w:r>
              </w:p>
              <w:p w:rsidR="00FD1931" w:rsidRDefault="00FD1931">
                <w:pPr>
                  <w:widowControl w:val="0"/>
                  <w:spacing w:after="0" w:line="240" w:lineRule="auto"/>
                  <w:ind w:left="0"/>
                  <w:rPr>
                    <w:rFonts w:ascii="Times New Roman" w:eastAsia="Times New Roman" w:hAnsi="Times New Roman" w:cs="Times New Roman"/>
                    <w:b/>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La Corte Constitucional, mediante la Sentencia C-376 de 2010, se pronunció sobre el principio de gratuidad en la educación pública, resaltando que este no puede ser interpretado de manera meramente formal, sino que debe garantizar un acceso real y efectivo, especialmente para las poblaciones vulnerables. Esta interpretación refuerza el contenido del artículo 2 del proyecto, en tanto ordena a la Secretaría de Educación garantizar la gratuidad plena y efectiva, sin cobros por servicios académicos o complementarios.</w:t>
                </w:r>
                <w:r>
                  <w:rPr>
                    <w:rFonts w:ascii="Times New Roman" w:eastAsia="Times New Roman" w:hAnsi="Times New Roman" w:cs="Times New Roman"/>
                    <w:sz w:val="20"/>
                    <w:szCs w:val="20"/>
                  </w:rPr>
                  <w:br/>
                </w: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La Corte señaló que la gratuidad implica eliminar barreras económicas al ingreso y permanencia en el sistema, lo que justifica también el uso de apoyos como transporte, alimentación y orientación ocupacional, tal como se desarrolla en el articulado del presente Proyecto de Acuerdo.</w:t>
                </w:r>
              </w:p>
              <w:p w:rsidR="00FD1931" w:rsidRDefault="00F47283">
                <w:pPr>
                  <w:widowControl w:val="0"/>
                  <w:spacing w:after="0" w:line="240" w:lineRule="auto"/>
                  <w:ind w:left="0"/>
                  <w:rPr>
                    <w:rFonts w:ascii="Times New Roman" w:eastAsia="Times New Roman" w:hAnsi="Times New Roman" w:cs="Times New Roman"/>
                    <w:sz w:val="20"/>
                    <w:szCs w:val="20"/>
                  </w:rPr>
                </w:pPr>
              </w:p>
            </w:tc>
          </w:tr>
        </w:tbl>
      </w:sdtContent>
    </w:sdt>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i/>
          <w:sz w:val="24"/>
          <w:szCs w:val="24"/>
        </w:rPr>
        <w:br/>
      </w:r>
      <w:r>
        <w:rPr>
          <w:rFonts w:ascii="Times New Roman" w:eastAsia="Times New Roman" w:hAnsi="Times New Roman" w:cs="Times New Roman"/>
          <w:sz w:val="24"/>
          <w:szCs w:val="24"/>
        </w:rPr>
        <w:t>Como complemento a este marco normativo, se considera pertinente incluir las siguientes normas:</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DEL ORDEN INTERNACIONAL:</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Objetivos de Desarrollo Sostenible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ODS 4. Educación de Calidad: Garantizar una educación inclusiva y equitativa de calidad y promover oportunidades de aprendizaje permanente para todos</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 xml:space="preserve">Meta 4.1. </w:t>
      </w:r>
      <w:r>
        <w:rPr>
          <w:rFonts w:ascii="Times New Roman" w:eastAsia="Times New Roman" w:hAnsi="Times New Roman" w:cs="Times New Roman"/>
          <w:i/>
          <w:sz w:val="24"/>
          <w:szCs w:val="24"/>
        </w:rPr>
        <w:t>1 De aquí a 2030, asegurar que todas las niñas y todos los niños terminen la enseñanza primaria y secundaria, que ha de ser gratuita, equitativa y de calidad y producir resultados de aprendizaje pertinentes y efectivos.”</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Pacto Internacional de Derechos Económicos, Sociales y Culturales (ratificado por la Ley 74 de 1968)</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b/>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 xml:space="preserve">Artículo 13. </w:t>
      </w: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1. Los Estados Partes en el presente Pacto reconocen el derecho de toda persona a la educación.</w:t>
      </w:r>
      <w:r>
        <w:rPr>
          <w:rFonts w:ascii="Times New Roman" w:eastAsia="Times New Roman" w:hAnsi="Times New Roman" w:cs="Times New Roman"/>
          <w:i/>
          <w:sz w:val="24"/>
          <w:szCs w:val="24"/>
        </w:rPr>
        <w:br/>
        <w:t>(...)</w:t>
      </w:r>
      <w:r>
        <w:rPr>
          <w:rFonts w:ascii="Times New Roman" w:eastAsia="Times New Roman" w:hAnsi="Times New Roman" w:cs="Times New Roman"/>
          <w:i/>
          <w:sz w:val="24"/>
          <w:szCs w:val="24"/>
        </w:rPr>
        <w:br/>
        <w:t>2. Los Estados Partes en el presente Pacto reconocen que, con objeto de lograr el pleno ejercicio de este derecho:</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a) La enseñanza primaria debe ser obligatoria y asequible a todos gratuitamente;</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b) La enseñanza secundaria, en sus diferentes formas, incluso la enseñanza secundaria técnica y profesional, debe ser generalizada y hacerse accesible a todos por cuantos medios sean apropiados, y en particular por la implantación progresiva de la enseñanza gratuita;</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c) La enseñanza superior debe hacerse igualmente accesible a todos, sobre la base de capacidad de cada uno, por cuantos medios sean apropiados, y en particular, por la implantación progresiva de la enseñanza gratuita;</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d) Debe fomentarse o intensificarse, en la medida de lo posible, la educación fundamental para aquellas personas que no hayan recibido o terminado el ciclo completo de instrucción primaria;</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e) Se debe proseguir activamente el desarrollo del sistema escolar en todos los ciclos de la enseñanza, implantar un sistema adecuado de becas, y mejorar continuamente las condiciones materiales del cuerpo docente.</w:t>
      </w:r>
      <w:r>
        <w:rPr>
          <w:rFonts w:ascii="Times New Roman" w:eastAsia="Times New Roman" w:hAnsi="Times New Roman" w:cs="Times New Roman"/>
          <w:i/>
          <w:sz w:val="24"/>
          <w:szCs w:val="24"/>
        </w:rPr>
        <w:br/>
        <w:t>(...)”</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Protocolo de San Salvador (ratificado por la Ley 319 de 1996)</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Artículo 13. Derecho a la educación</w:t>
      </w: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1. Toda persona tiene derecho a la educación.</w:t>
      </w:r>
      <w:r>
        <w:rPr>
          <w:rFonts w:ascii="Times New Roman" w:eastAsia="Times New Roman" w:hAnsi="Times New Roman" w:cs="Times New Roman"/>
          <w:i/>
          <w:sz w:val="24"/>
          <w:szCs w:val="24"/>
        </w:rPr>
        <w:br/>
        <w:t>(...)</w:t>
      </w:r>
      <w:r>
        <w:rPr>
          <w:rFonts w:ascii="Times New Roman" w:eastAsia="Times New Roman" w:hAnsi="Times New Roman" w:cs="Times New Roman"/>
          <w:i/>
          <w:sz w:val="24"/>
          <w:szCs w:val="24"/>
        </w:rPr>
        <w:br/>
        <w:t xml:space="preserve">3. Los Estados Partes en el presente Protocolo reconocen que, con objeto de lograr el pleno ejercicio del derecho a la educación: </w:t>
      </w:r>
      <w:r>
        <w:rPr>
          <w:rFonts w:ascii="Times New Roman" w:eastAsia="Times New Roman" w:hAnsi="Times New Roman" w:cs="Times New Roman"/>
          <w:i/>
          <w:sz w:val="24"/>
          <w:szCs w:val="24"/>
        </w:rPr>
        <w:br/>
      </w: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 La enseñanza primaria debe ser obligatoria y asequible a todos gratuitamente; </w:t>
      </w:r>
      <w:r>
        <w:rPr>
          <w:rFonts w:ascii="Times New Roman" w:eastAsia="Times New Roman" w:hAnsi="Times New Roman" w:cs="Times New Roman"/>
          <w:i/>
          <w:sz w:val="24"/>
          <w:szCs w:val="24"/>
        </w:rPr>
        <w:br/>
      </w: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b) La enseñanza secundaria en sus diferentes formas, incluso la enseñanza secundaria técnica y profesional, debe ser generalizada y hacerse accesible a todos, por cuantos medios sean apropiados, y en particular por la implantación progresiva de la enseñanza gratuita;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c) La enseñanza superior debe hacerse igualmente accesible a todos, sobre la base de la capacidad de cada uno, por cuantos medios sean apropiados, y en particular, por la implantación progresiva de la enseñanza gratuita; </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d) Se deberá fomentar o intensificar, en la medida de lo posible, la educación básica para aquellas personas que no hayan recibido o terminado el ciclo completo de instrucción primaria; </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La Convención sobre los Derechos del Niño (ratificada por la Ley 12 de 1991)</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 xml:space="preserve">Artículo 28. </w:t>
      </w: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1. Los Estados Partes reconocen el derecho del niño a la educación y, a fin de que se pueda ejercer progresivamente y en condiciones de igualdad de oportunidades ese derecho, deberán en particular:</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 Implantar la enseñanza primaria obligatoria y gratuita para todos;</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b) Fomentar el desarrollo, en sus distintas formas, de la enseñanza secundaria, incluida la enseñanza general y profesional, hacer que todos los niños dispongan de ella y tengan acceso a ella y adoptar medidas apropiadas tales como la implantación de la enseñanza gratuita y la concesión de asistencia financiera en caso de necesidad;</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c) Hacer la enseñanza superior accesible a todos, sobre la base de la capacidad, por cuantos medios sean apropiados;</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d) Hacer que todos los niños dispongan de información y orientación en cuestiones educacionales y profesionales y tengan acceso a ellas;</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e) Adoptar medidas para fomentar la asistencia regular a las escuelas y reducir las tasas de diserción escolar.</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2. Los Estados Partes adoptarán cuantas medidas sean adecuadas para velar porque la disciplina escolar se administre de modo compatible con la dignidad humana del niño y de conformidad con la presente Convención.</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3. Los Estados Partes fomentarán y alentarán la cooperación internacional en cuestiones de educación, en particular a fin de contribuir a eliminar la ignorancia y el analfabetismo en todo el mundo y de facilitar el acceso a los conocimientos técnicos y a los métodos modernos de enseñanza. A este respecto, se tendrán especialmente en cuenta las necesidades de los países en desarrollo.”</w:t>
      </w:r>
    </w:p>
    <w:p w:rsidR="00FD1931" w:rsidRDefault="00FD1931">
      <w:pPr>
        <w:pBdr>
          <w:top w:val="nil"/>
          <w:left w:val="nil"/>
          <w:bottom w:val="nil"/>
          <w:right w:val="nil"/>
          <w:between w:val="nil"/>
        </w:pBdr>
        <w:spacing w:after="0" w:line="240" w:lineRule="auto"/>
        <w:ind w:left="720"/>
        <w:rPr>
          <w:rFonts w:ascii="Times New Roman" w:eastAsia="Times New Roman" w:hAnsi="Times New Roman" w:cs="Times New Roman"/>
          <w:i/>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DEL ORDEN CONSTITUCIONAL:</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Artículo 1.</w:t>
      </w:r>
      <w:r>
        <w:rPr>
          <w:rFonts w:ascii="Times New Roman" w:eastAsia="Times New Roman" w:hAnsi="Times New Roman" w:cs="Times New Roman"/>
          <w:i/>
          <w:sz w:val="24"/>
          <w:szCs w:val="24"/>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Artículo 45.</w:t>
      </w:r>
      <w:r>
        <w:rPr>
          <w:rFonts w:ascii="Times New Roman" w:eastAsia="Times New Roman" w:hAnsi="Times New Roman" w:cs="Times New Roman"/>
          <w:i/>
          <w:sz w:val="24"/>
          <w:szCs w:val="24"/>
        </w:rPr>
        <w:t xml:space="preserve"> El adolescente tiene derecho a la protección y a la formación integral.</w:t>
      </w:r>
      <w:r>
        <w:rPr>
          <w:rFonts w:ascii="Times New Roman" w:eastAsia="Times New Roman" w:hAnsi="Times New Roman" w:cs="Times New Roman"/>
          <w:i/>
          <w:sz w:val="24"/>
          <w:szCs w:val="24"/>
        </w:rPr>
        <w:br/>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El Estado y la sociedad garantizan la participación activa de los jóvenes en los organismos públicos y privados que tengan a cargo la protección, educación y progreso de la juventud.”</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DEL ORDEN LEGAL:</w:t>
      </w:r>
    </w:p>
    <w:p w:rsidR="00FD1931" w:rsidRDefault="00FD1931">
      <w:pPr>
        <w:spacing w:after="0" w:line="240" w:lineRule="auto"/>
        <w:ind w:left="0"/>
        <w:rPr>
          <w:rFonts w:ascii="Times New Roman" w:eastAsia="Times New Roman" w:hAnsi="Times New Roman" w:cs="Times New Roman"/>
          <w:b/>
          <w:sz w:val="24"/>
          <w:szCs w:val="24"/>
        </w:rPr>
      </w:pPr>
    </w:p>
    <w:p w:rsidR="00FD1931" w:rsidRDefault="006879E2">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Ley 115 de 1994</w:t>
      </w:r>
      <w:r>
        <w:rPr>
          <w:rFonts w:ascii="Times New Roman" w:eastAsia="Times New Roman" w:hAnsi="Times New Roman" w:cs="Times New Roman"/>
          <w:b/>
          <w:sz w:val="24"/>
          <w:szCs w:val="24"/>
        </w:rPr>
        <w:br/>
      </w:r>
      <w:r>
        <w:rPr>
          <w:rFonts w:ascii="Times New Roman" w:eastAsia="Times New Roman" w:hAnsi="Times New Roman" w:cs="Times New Roman"/>
          <w:b/>
          <w:i/>
          <w:sz w:val="24"/>
          <w:szCs w:val="24"/>
        </w:rPr>
        <w:t>“Por la cual se expide la ley general de educación”</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br/>
      </w: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Artículo 151. Funciones de las Secretarías Departamentales y Distritales de Educación.</w:t>
      </w:r>
      <w:r>
        <w:rPr>
          <w:rFonts w:ascii="Times New Roman" w:eastAsia="Times New Roman" w:hAnsi="Times New Roman" w:cs="Times New Roman"/>
          <w:i/>
          <w:sz w:val="24"/>
          <w:szCs w:val="24"/>
        </w:rPr>
        <w:t xml:space="preserve"> Las secretarías de educación departamentales y distritales o los organismos que hagan sus veces, ejercerán dentro del territorio de su jurisdicción, en coordinación con las autoridades nacionales y de conformidad con las políticas y metas fijadas para el servicio educativo, las siguientes funciones:</w:t>
      </w:r>
    </w:p>
    <w:p w:rsidR="00FD1931" w:rsidRDefault="00FD1931">
      <w:pPr>
        <w:spacing w:after="0" w:line="240" w:lineRule="auto"/>
        <w:ind w:left="1440"/>
        <w:rPr>
          <w:rFonts w:ascii="Times New Roman" w:eastAsia="Times New Roman" w:hAnsi="Times New Roman" w:cs="Times New Roman"/>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 Velar por la calidad y cobertura de la educación en su respectivo territorio;</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e) Diseñar y poner en marcha los programas que se requieran para mejorar la eficiencia, la calidad y la cobertura de la educación;</w:t>
      </w:r>
      <w:r>
        <w:rPr>
          <w:rFonts w:ascii="Times New Roman" w:eastAsia="Times New Roman" w:hAnsi="Times New Roman" w:cs="Times New Roman"/>
          <w:i/>
          <w:sz w:val="24"/>
          <w:szCs w:val="24"/>
        </w:rPr>
        <w:br/>
        <w:t>(...)</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j) Aplicar, en concurrencia con los municipios, los incentivos y sanciones a las instituciones educativas, de acuerdo con los resultados de las evaluaciones de calidad y gestión;</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Ley 1098 de 2006</w:t>
      </w:r>
      <w:r>
        <w:rPr>
          <w:rFonts w:ascii="Times New Roman" w:eastAsia="Times New Roman" w:hAnsi="Times New Roman" w:cs="Times New Roman"/>
          <w:b/>
          <w:sz w:val="24"/>
          <w:szCs w:val="24"/>
        </w:rPr>
        <w:br/>
      </w:r>
      <w:r>
        <w:rPr>
          <w:rFonts w:ascii="Times New Roman" w:eastAsia="Times New Roman" w:hAnsi="Times New Roman" w:cs="Times New Roman"/>
          <w:b/>
          <w:i/>
          <w:sz w:val="24"/>
          <w:szCs w:val="24"/>
        </w:rPr>
        <w:t>“Por la cual se expide el Código de la Infancia y la Adolescencia”</w:t>
      </w:r>
      <w:r>
        <w:rPr>
          <w:rFonts w:ascii="Times New Roman" w:eastAsia="Times New Roman" w:hAnsi="Times New Roman" w:cs="Times New Roman"/>
          <w:b/>
          <w:i/>
          <w:sz w:val="24"/>
          <w:szCs w:val="24"/>
        </w:rPr>
        <w:br/>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Artículo 28. Derecho a la educación.</w:t>
      </w:r>
      <w:r>
        <w:rPr>
          <w:rFonts w:ascii="Times New Roman" w:eastAsia="Times New Roman" w:hAnsi="Times New Roman" w:cs="Times New Roman"/>
          <w:i/>
          <w:sz w:val="24"/>
          <w:szCs w:val="24"/>
        </w:rPr>
        <w:t xml:space="preserve"> Los niños, las niñas y los adolescentes tienen derecho a una educación de calidad. Esta será obligatoria por parte del Estado en un año de preescolar y nueve de educación básica. La educación será gratuita en las instituciones estatales de acuerdo con los términos establecidos en la Constitución Política. Incurrirá en multa hasta de 20 salarios mínimos quienes se abstengan de recibir a un niño en los establecimientos públicos de educación.”</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Artículo 41. Obligaciones del Estado.</w:t>
      </w:r>
      <w:r>
        <w:rPr>
          <w:rFonts w:ascii="Times New Roman" w:eastAsia="Times New Roman" w:hAnsi="Times New Roman" w:cs="Times New Roman"/>
          <w:i/>
          <w:sz w:val="24"/>
          <w:szCs w:val="24"/>
        </w:rPr>
        <w:t xml:space="preserve"> El Estado es el contexto institucional en el desarrollo integral de los niños, las niñas y los adolescentes. En cumplimiento de sus funciones en los niveles nacional, departamental, distrital y municipal deberá:</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 Garantizar el ejercicio de todos los derechos de los niños, las niñas y los adolescentes. </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3. Garantizar la asignación de los recursos necesarios para el cumplimiento de las políticas públicas de niñez y adolescencia, en los niveles nacional, </w:t>
      </w:r>
      <w:r>
        <w:rPr>
          <w:rFonts w:ascii="Times New Roman" w:eastAsia="Times New Roman" w:hAnsi="Times New Roman" w:cs="Times New Roman"/>
          <w:i/>
          <w:sz w:val="24"/>
          <w:szCs w:val="24"/>
        </w:rPr>
        <w:lastRenderedPageBreak/>
        <w:t>departamental, distrital y municipal para asegurar la prevalencia de sus derechos.</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17. Garantizar las condiciones para que los niños, las niñas desde su nacimiento, tengan acceso a una educación idónea y de calidad, bien sea en instituciones educativas cercanas a su vivienda, o mediante la utilización de tecnologías que garanticen dicho acceso, tanto en los entornos rurales como urbanos. </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18. Asegurar los medios y condiciones que les garanticen la permanencia en el sistema educativo y el cumplimiento de su ciclo completo de formación. </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DEL ORDEN DISTRITAL: </w:t>
      </w:r>
    </w:p>
    <w:p w:rsidR="00FD1931" w:rsidRDefault="00FD1931">
      <w:pPr>
        <w:spacing w:after="0" w:line="240" w:lineRule="auto"/>
        <w:ind w:left="0"/>
        <w:rPr>
          <w:rFonts w:ascii="Times New Roman" w:eastAsia="Times New Roman" w:hAnsi="Times New Roman" w:cs="Times New Roman"/>
          <w:i/>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Acuerdo 927 de 2024</w:t>
      </w:r>
    </w:p>
    <w:p w:rsidR="00FD1931" w:rsidRDefault="006879E2">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“Por medio del cual se adopta el Plan de Desarrollo Económico, Social, Ambiental y de Obras Públicas del Distrito Capital 2024-2027 “Bogotá Camina Segura”</w:t>
      </w:r>
    </w:p>
    <w:p w:rsidR="00FD1931" w:rsidRDefault="00FD1931">
      <w:pPr>
        <w:spacing w:after="0" w:line="240" w:lineRule="auto"/>
        <w:ind w:left="0"/>
        <w:rPr>
          <w:rFonts w:ascii="Times New Roman" w:eastAsia="Times New Roman" w:hAnsi="Times New Roman" w:cs="Times New Roman"/>
          <w:b/>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 xml:space="preserve">Artículo 12. Programas del objetivo estratégico “Bogotá confía en su potencial”. </w:t>
      </w:r>
      <w:r>
        <w:rPr>
          <w:rFonts w:ascii="Times New Roman" w:eastAsia="Times New Roman" w:hAnsi="Times New Roman" w:cs="Times New Roman"/>
          <w:i/>
          <w:sz w:val="24"/>
          <w:szCs w:val="24"/>
        </w:rPr>
        <w:t>Adóptense los siguientes programas del objetivo “Bogotá confía en su potencial”:</w:t>
      </w:r>
      <w:r>
        <w:rPr>
          <w:rFonts w:ascii="Times New Roman" w:eastAsia="Times New Roman" w:hAnsi="Times New Roman" w:cs="Times New Roman"/>
          <w:i/>
          <w:sz w:val="24"/>
          <w:szCs w:val="24"/>
        </w:rPr>
        <w:br/>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12.1. Programa 16. Atención integral a la primera infancia y educación como eje del potencial humano.</w:t>
      </w:r>
      <w:r>
        <w:rPr>
          <w:rFonts w:ascii="Times New Roman" w:eastAsia="Times New Roman" w:hAnsi="Times New Roman" w:cs="Times New Roman"/>
          <w:i/>
          <w:sz w:val="24"/>
          <w:szCs w:val="24"/>
        </w:rPr>
        <w:t xml:space="preserve"> Una educación de calidad es la responsable de brindarles a las niñas, niños, adolescentes y jóvenes formación en las habilidades emocionales y académicas que los convierten en ciudadanos integrales que aportan valor público, social y económico a la sociedad, con participación de las comunidades de padres, madres y cuidadores.</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Por otro lado, se establecerán mecanismos de financiación alternativos que, en conjunto con los recursos Distritales, permitirán una mayor sostenibilidad de los programas orientados a la educación posmedia. En complemento de lo anterior, se potenciarán las estrategias de permanencia para los programas mencionados y se contará con una política pública de educación superior para el Distrito, que incluirá los procesos de articulación para el mejoramiento de la infraestructura de educación superior en conjunto con el Gobierno nacional. Los esquemas de financiación deben conectarse y articularse con la política de gratuidad nacional, para que los recursos de subsidios del Distrito se encaminen hacia el fortalecimiento de las instituciones de educación superior públicas y la ampliación de coberturas, lo que se suma a las estrategias para fortalecer la Universidad Distrital y fomentar planes de mejoramiento que le permitan enfocar sus esfuerzos en la oferta de programas con mayor demanda.” </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i/>
          <w:sz w:val="24"/>
          <w:szCs w:val="24"/>
        </w:rPr>
        <w:t xml:space="preserve"> </w:t>
      </w:r>
      <w:r>
        <w:rPr>
          <w:rFonts w:ascii="Times New Roman" w:eastAsia="Times New Roman" w:hAnsi="Times New Roman" w:cs="Times New Roman"/>
          <w:b/>
          <w:sz w:val="24"/>
          <w:szCs w:val="24"/>
        </w:rPr>
        <w:t>Resolución 4270 de 2023</w:t>
      </w:r>
    </w:p>
    <w:p w:rsidR="00FD1931" w:rsidRDefault="006879E2">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“Por la cual se establece en la Secretaría de Educación del Distrito el Plan de Estímulos en el marco de la Ruta de la Excelencia hacía la calidad educativa”</w:t>
      </w:r>
    </w:p>
    <w:p w:rsidR="00FD1931" w:rsidRDefault="00FD1931">
      <w:pPr>
        <w:spacing w:after="0" w:line="240" w:lineRule="auto"/>
        <w:ind w:left="0"/>
        <w:rPr>
          <w:rFonts w:ascii="Times New Roman" w:eastAsia="Times New Roman" w:hAnsi="Times New Roman" w:cs="Times New Roman"/>
          <w:b/>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w:t>
      </w:r>
      <w:r>
        <w:rPr>
          <w:rFonts w:ascii="Times New Roman" w:eastAsia="Times New Roman" w:hAnsi="Times New Roman" w:cs="Times New Roman"/>
          <w:b/>
          <w:i/>
          <w:sz w:val="24"/>
          <w:szCs w:val="24"/>
        </w:rPr>
        <w:t>Artículo 2. Objetivos.</w:t>
      </w:r>
      <w:r>
        <w:rPr>
          <w:rFonts w:ascii="Times New Roman" w:eastAsia="Times New Roman" w:hAnsi="Times New Roman" w:cs="Times New Roman"/>
          <w:i/>
          <w:sz w:val="24"/>
          <w:szCs w:val="24"/>
        </w:rPr>
        <w:t xml:space="preserve"> El objetivo primordial del presente acto administrativo es que la Secretaría de Educación del Distrito, en sus tres niveles de organización, promueva el mejoramiento de la calidad educativa en la ciudad y se establecen como objetivos específicos los siguientes:</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 Hacer entrega de reconocimientos, en coherencia con los principios de la educación pública consagrados en la Constitución Política de Colombia y en la normatividad educativa nacional y distrital, como estímulo para que los estudiantes logren trayectorias educativas completas y los colegios oficiales de la ciudad alcancen resultados educativos de calidad.</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b. Otorgar estímulos, de conformidad con el ámbito de aplicación, a estudiantes, docentes, directivos docentes, y colegios que muestren tanto progresos como resultados, que contribuyan a mejorar la calidad el acceso y trayectorias completas y la convivencia en el sistema educativo del Distrito</w:t>
      </w:r>
      <w:r>
        <w:rPr>
          <w:rFonts w:ascii="Times New Roman" w:eastAsia="Times New Roman" w:hAnsi="Times New Roman" w:cs="Times New Roman"/>
          <w:sz w:val="24"/>
          <w:szCs w:val="24"/>
          <w:highlight w:val="white"/>
        </w:rPr>
        <w:t>.</w:t>
      </w: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6879E2">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sz w:val="24"/>
          <w:szCs w:val="24"/>
        </w:rPr>
        <w:br/>
      </w: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COMPETENCIA DEL CONCEJO DE BOGOTÁ. </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Concejo de Bogotá D.C. tiene la competencia para dictar normas relacionadas con la naturaleza y el alcance del presente Proyecto de Acuerdo,</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según las disposiciones constitucionales y legales vigentes. En primer lugar, el artículo 313 de la Constitución Política de Colombia establece que:</w:t>
      </w:r>
    </w:p>
    <w:p w:rsidR="00FD1931" w:rsidRDefault="00FD1931">
      <w:pPr>
        <w:spacing w:after="0" w:line="240" w:lineRule="auto"/>
        <w:ind w:left="720"/>
        <w:rPr>
          <w:rFonts w:ascii="Times New Roman" w:eastAsia="Times New Roman" w:hAnsi="Times New Roman" w:cs="Times New Roman"/>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313. Corresponde a los Concejos:</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numPr>
          <w:ilvl w:val="0"/>
          <w:numId w:val="3"/>
        </w:num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Reglamentar las funciones y la eficiente prestación de los servicios a cargo del municipio.</w:t>
      </w:r>
    </w:p>
    <w:p w:rsidR="00FD1931" w:rsidRDefault="006879E2">
      <w:pPr>
        <w:spacing w:after="0" w:line="240" w:lineRule="auto"/>
        <w:ind w:left="144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FD1931">
      <w:pPr>
        <w:spacing w:after="0" w:line="240" w:lineRule="auto"/>
        <w:ind w:left="72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segunda instancia, el artículo 12 del Decreto Ley 1421 de 1993 - Estatuto Orgánico de Bogotá - estipula que:</w:t>
      </w:r>
    </w:p>
    <w:p w:rsidR="00FD1931" w:rsidRDefault="00FD1931">
      <w:pPr>
        <w:spacing w:after="0" w:line="240" w:lineRule="auto"/>
        <w:ind w:left="720"/>
        <w:rPr>
          <w:rFonts w:ascii="Times New Roman" w:eastAsia="Times New Roman" w:hAnsi="Times New Roman" w:cs="Times New Roman"/>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12. Atribuciones. Corresponde al Concejo Distrital, de conformidad con la Constitución y a la ley:</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numPr>
          <w:ilvl w:val="0"/>
          <w:numId w:val="1"/>
        </w:num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Dictar las normas necesarias para garantizar el adecuado cumplimiento de las funciones y la eficiente prestación de los servicios a cargo del Distrito.</w:t>
      </w:r>
    </w:p>
    <w:p w:rsidR="00FD1931" w:rsidRDefault="006879E2">
      <w:pPr>
        <w:spacing w:after="0" w:line="240" w:lineRule="auto"/>
        <w:ind w:left="144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mismo sentido, conforme al Acuerdo 741 de 2019, Reglamento Interno del Concejo de Bogotá, el Concejo es competente de acuerdo con los siguientes artículos:</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ARTÍCULO 3. ATRIBUCIONES. El Concejo de Bogotá, D.C., ejerce las atribuciones, funciones y competencias de conformidad con lo establecido en la Constitución Política, el Estatuto Orgánico para Bogotá, D.C., las leyes especiales, así como las conferidas a las Asambleas Departamentales en lo que fuere compatible con su régimen especial. En ausencia de las normas anteriores, se somete a las disposiciones constitucionales y legales vigentes para los municipios.</w:t>
      </w:r>
    </w:p>
    <w:p w:rsidR="00FD1931" w:rsidRDefault="00FD1931">
      <w:pPr>
        <w:spacing w:after="0" w:line="240" w:lineRule="auto"/>
        <w:ind w:left="720"/>
        <w:rPr>
          <w:rFonts w:ascii="Times New Roman" w:eastAsia="Times New Roman" w:hAnsi="Times New Roman" w:cs="Times New Roman"/>
          <w:i/>
          <w:sz w:val="24"/>
          <w:szCs w:val="24"/>
        </w:rPr>
      </w:pPr>
    </w:p>
    <w:p w:rsidR="00FD1931" w:rsidRDefault="006879E2">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65. INICIATIVA.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w:t>
      </w:r>
      <w:r>
        <w:rPr>
          <w:rFonts w:ascii="Times New Roman" w:eastAsia="Times New Roman" w:hAnsi="Times New Roman" w:cs="Times New Roman"/>
          <w:b/>
          <w:sz w:val="24"/>
          <w:szCs w:val="24"/>
        </w:rPr>
        <w:t>.</w:t>
      </w:r>
    </w:p>
    <w:p w:rsidR="00FD1931" w:rsidRDefault="00FD1931">
      <w:pPr>
        <w:spacing w:after="0" w:line="240" w:lineRule="auto"/>
        <w:ind w:left="0"/>
        <w:rPr>
          <w:rFonts w:ascii="Times New Roman" w:eastAsia="Times New Roman" w:hAnsi="Times New Roman" w:cs="Times New Roman"/>
          <w:b/>
          <w:i/>
          <w:sz w:val="24"/>
          <w:szCs w:val="24"/>
        </w:rPr>
      </w:pPr>
    </w:p>
    <w:p w:rsidR="00FD1931" w:rsidRDefault="00FD1931">
      <w:pPr>
        <w:spacing w:after="0" w:line="240" w:lineRule="auto"/>
        <w:ind w:left="0"/>
        <w:rPr>
          <w:rFonts w:ascii="Times New Roman" w:eastAsia="Times New Roman" w:hAnsi="Times New Roman" w:cs="Times New Roman"/>
          <w:b/>
          <w:i/>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6. IMPACTO FISCAL.</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 conformidad con el artículo 7 de la Ley 819 de 2003, la implementación del presente acuerdo no genera impacto fiscal, toda vez que los incentivos y estímulos a que se refiere estaban previstos para la implementación del Acuerdo Distrital 273 de 2007. En consecuencia, las actividades y responsabilidades derivadas de su ejecución deben ser asumidas por la Secretaría de Educación del Distrito, con los recursos asignados en su presupuesto vigente, por lo que no será necesario incrementar el presupuesto anual de esa Entidad. Lo anterior, teniendo en cuenta que, en años anteriores, los incentivos se han financiado con recursos previstos en el presupuesto aprobado por la SED. Lo que indica que con el presente Proyecto de Acuerdo no se generará una erogación adicional, sino que, por el contrario, estos recursos ya están contemplados para esta finalidad y, sumado a esto, se actualizará el marco normativo sobre los estímulos de la educación para lograr la promoción de acciones que fortalezcan la calidad del servicio educativo.</w:t>
      </w:r>
    </w:p>
    <w:p w:rsidR="00FD1931" w:rsidRDefault="00FD1931">
      <w:pPr>
        <w:spacing w:after="0" w:line="240" w:lineRule="auto"/>
        <w:ind w:left="1416"/>
        <w:rPr>
          <w:rFonts w:ascii="Times New Roman" w:eastAsia="Times New Roman" w:hAnsi="Times New Roman" w:cs="Times New Roman"/>
          <w:sz w:val="24"/>
          <w:szCs w:val="24"/>
        </w:rPr>
      </w:pPr>
    </w:p>
    <w:p w:rsidR="00FD1931" w:rsidRDefault="00FD1931">
      <w:pPr>
        <w:spacing w:after="0" w:line="240" w:lineRule="auto"/>
        <w:ind w:left="1416"/>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7. </w:t>
      </w:r>
      <w:r>
        <w:rPr>
          <w:rFonts w:ascii="Times New Roman" w:eastAsia="Times New Roman" w:hAnsi="Times New Roman" w:cs="Times New Roman"/>
          <w:b/>
          <w:color w:val="000000"/>
          <w:sz w:val="24"/>
          <w:szCs w:val="24"/>
        </w:rPr>
        <w:t>CONSIDERACIONES</w:t>
      </w:r>
      <w:r>
        <w:rPr>
          <w:rFonts w:ascii="Times New Roman" w:eastAsia="Times New Roman" w:hAnsi="Times New Roman" w:cs="Times New Roman"/>
          <w:b/>
          <w:sz w:val="24"/>
          <w:szCs w:val="24"/>
        </w:rPr>
        <w:t xml:space="preserve"> DE LOS PONENTES</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7.1. Panorama de la calidad educativa en Bogotá D.C.</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Según la Secretaría de Educación, las pruebas nacionales como el examen Saber 11 y las pruebas Saber 3°, 5°, 7° y 9° dan información del estado de desarrollo de las competencias de los estudiantes y son un insumo de autoevaluación de los colegios</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numPr>
          <w:ilvl w:val="0"/>
          <w:numId w:val="4"/>
        </w:num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Saber 11, balance de 2019 a 2023</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 la siguiente gráfica se observa que el puntaje global promedio en Bogotá para 2023 es superior al promedio nacional, tanto en el sector oficial como no oficial. El puntaje global de Bogotá también es superior al de Barranquilla, Cali, Cartagena y Medellín en los dos sectores, pero inferior al de Bucaramanga en los sectores oficial y no oficial, y al de Tunja en el sector oficial.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3035300"/>
            <wp:effectExtent l="0" t="0" r="0" b="0"/>
            <wp:docPr id="153897252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8"/>
                    <a:srcRect/>
                    <a:stretch>
                      <a:fillRect/>
                    </a:stretch>
                  </pic:blipFill>
                  <pic:spPr>
                    <a:xfrm>
                      <a:off x="0" y="0"/>
                      <a:ext cx="5399730" cy="30353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área de lectura crítica, el promedio alcanzado por Bogotá en 2023 es superior al nacional y al de la mayoría de entidades territoriales, a excepción de Bucaramanga, Manizales y Tunja en los sectores oficial como no oficial.</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área de matemáticas, el promedio del puntaje de Bogotá en 2023 es superior al del país en los dos sectores. Sin embargo, en los dos sectores el promedio del puntaje es mayor en Bucaramanga.</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Respecto al área de sociales y ciudadanas, el promedio del puntaje de Bogotá en 2023 es mayor al obtenido por el país.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Para el área de ciencias naturales, Bogotá en 2023 obtuvo un puntaje promedio superior al obtenido a nivel nacional, tanto en el sector oficial como el no oficial.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el área de inglés, el puntaje de Bogotá en comparación con el país fue superior en el sector oficial y no oficial. Esta es el área que más mejoró respecto a los años anteriores.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la figura 28 se evidencia que en los colegios distritales hay un mayor número de estudiantes que se ubica en el nivel más bajo de cada área (lectura crítica, matemáticas, sociales y ciudadanas y ciencias naturales) entre 2019 y 2023 en comparación con los colegios de administración contratada.</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3251200"/>
            <wp:effectExtent l="0" t="0" r="0" b="0"/>
            <wp:docPr id="153897252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5399730" cy="32512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 observa que en el área de matemáticas, la cantidad de estudiantes clasificados en el nivel de desempeño 4 aumentó en los colegios distritales en administración contratada. En ciencias naturales, los estudiantes se ubicaron en los niveles bajos (1 y 2). Respecto a lectura crítica, en 2023 se ubicó el mismo porcentaje de estudiantes de colegios distritales en el nivel 1 en comparación con 2022 y aumentó el porcentaje de estudiantes ubicados en el nivel 2. En el área de sociales y ciudadanas, en 2023 se observó un aumento en el porcentaje de estudiantes de colegios distritales clasificados en el nivel 2 y disminución en el nivel 1, frente al año 2022. Sin embargo, el 50% de los estudiantes son clasificados en el nivel 2.</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Finalmente, respecto al área de inglés, en el sector distrital, en comparación con 2022, se observa en 2023 un aumento en el porcentaje de estudiantes clasificados en el nivel B1, sin embargo, el 38% de los estudiantes es clasificado en el nivel A1.</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numPr>
          <w:ilvl w:val="0"/>
          <w:numId w:val="4"/>
        </w:num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Saber 3°, 5°, 7° y 9°</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la aplicación de 2022 las pruebas de competencias comunicativas en lenguaje: lectura y escritura; matemáticas; ciencias naturales y educación ambiental; y competencias ciudadanas (pensamiento ciudadano) se encuentran en una escala de 100 a 700 puntos.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promedio de los resultados en matemáticas grado 3° es igual a 431 puntos en Bogotá. El promedio del sector no oficial es superior al del sector oficial en 55 puntos. En grado 5° el promedio de Bogotá superó en 3 puntos el promedio de la región (433 frente a 430); el sector no oficial supera el del sector oficial en 51 puntos. En grado 9° el promedio de Bogotá está 2 puntos por debajo del promedio de la región (430 frente a 432).</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2171700"/>
            <wp:effectExtent l="0" t="0" r="0" b="0"/>
            <wp:docPr id="153897252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5399730" cy="21717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Respecto al área de lectura, en 3° los colegios no oficiales mostraron un promedio más alto frente a los oficiales, con una diferencia de 64 puntos. El desempeño promedio en Bogotá fue superior en 1 punto en comparación con la región Centro Oriente (429 frente a 428). En los estudiantes de 5° Bogotá presenta mayor puntaje promedio frente a la región Centro Oriente, con una diferencia de 5 puntos (433 frente a 428). Para grado 9° se evidencia que Bogotá obtuvo un puntaje promedio de 430, superior a la región Centro Oriente con 428 puntos. Los colegios no oficiales superaron a los oficiales por 48 puntos.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2349500"/>
            <wp:effectExtent l="0" t="0" r="0" b="0"/>
            <wp:docPr id="153897251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5399730" cy="2349500"/>
                    </a:xfrm>
                    <a:prstGeom prst="rect">
                      <a:avLst/>
                    </a:prstGeom>
                    <a:ln/>
                  </pic:spPr>
                </pic:pic>
              </a:graphicData>
            </a:graphic>
          </wp:inline>
        </w:drawing>
      </w: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Ahora bien, frente a los resultados de escritura en grado 5°, el desempeño promedio en Bogotá fue superior en 3 puntos (418) en comparación con la región Centro Oriente (415). Los colegios no oficiales mostraron un desempeño más alto con una diferencia de 33 puntos frente a los oficiales. Para grado 9°, la región Centro Oriente obtuvo un puntaje promedio de 417, superando a Bogotá, que obtuvo 415 puntos. Los colegios no oficiales superaron a los oficiales por 31 puntos.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el área de ciencias naturales, en grado 5° Bogotá obtuvo un puntaje promedio de 432, frente a 429 puntos de la región Centro Oriente. De nuevo, los colegios no oficiales tuvieron un mayor puntaje frente a los oficiales (una diferencia de 62 puntos). En grado </w:t>
      </w:r>
      <w:r>
        <w:rPr>
          <w:rFonts w:ascii="Times New Roman" w:eastAsia="Times New Roman" w:hAnsi="Times New Roman" w:cs="Times New Roman"/>
          <w:sz w:val="24"/>
          <w:szCs w:val="24"/>
        </w:rPr>
        <w:lastRenderedPageBreak/>
        <w:t xml:space="preserve">9° la región Centro Oriente obtuvo un puntaje promedio de 431 puntos, un punto por encima de Bogotá. Los colegios no oficiales, tuvieron un puntaje mayor al promedio de los colegios oficiales con una diferencia de 48 puntos.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2273300"/>
            <wp:effectExtent l="0" t="0" r="0" b="0"/>
            <wp:docPr id="153897252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5399730" cy="22733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la prueba de pensamiento ciudadano, en grado 5° los estudiantes de Bogotá obtuvieron 430 puntos, 2 puntos por encima del promedio de la región Centro Oriente. Los colegios no oficiales superaron a los oficiales por 70 puntos. En grado 9°, los estudiantes de Bogotá obtuvieron 429 puntos, 1 punto menos que la región Centro Oriente. Los colegios no oficiales obtuvieron en promedio 46 puntos más que los colegios del sector oficial.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2324100"/>
            <wp:effectExtent l="0" t="0" r="0" b="0"/>
            <wp:docPr id="153897252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5399730" cy="23241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numPr>
          <w:ilvl w:val="0"/>
          <w:numId w:val="4"/>
        </w:num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Resultado de las pruebas internacionales</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Desde hace dos décadas el país participa en proyectos con estándares internacionales, con el propósito de comparar sistemas educativos de los países que optan por formar parte de estos proyectos. Estas evaluaciones permiten generar estrategias de política orientada a mejorar los aprendizajes de los estudiantes y a definir acciones en los planes de mejoramiento de cada colegio.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prueba PISA (Programa para la Evaluación Internacional de Estudiantes), liderada por la Organización para la Cooperación y Desarrollo Económicos (OCDE), es una prueba estandarizada que evalúa la calidad de la educación, donde la población objetivo son los jóvenes de 15 años que cursan desde 7° grado hasta grado 11°.</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Para la prueba de lectura, Bogotá alcanzó un puntaje de 462 en 2022, 53 puntos por encima del país. El promedio de Bogotá respecto a 2018 aumentó en 7 puntos. En general los resultados de Bogotá son superiores a los demás países de la región.</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2933700"/>
            <wp:effectExtent l="0" t="0" r="0" b="0"/>
            <wp:docPr id="153897251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a:stretch>
                      <a:fillRect/>
                    </a:stretch>
                  </pic:blipFill>
                  <pic:spPr>
                    <a:xfrm>
                      <a:off x="0" y="0"/>
                      <a:ext cx="5399730" cy="29337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matemáticas, Bogotá obtuvo un puntaje de 423 en 2022, superando en 40 puntos los resultados de Colombia. Los resultados de la prueba PISA 2022, en general, muestran una disminución en el área de matemáticas; con respecto a 2018, el promedio en los países miembros de la OCDE disminuyó 15 puntos, mientras que Colombia disminuyó 8 puntos y Bogotá 7 puntos. Pese a esto, Bogotá está por encima de los demás países de la región, y solo Argentina, Brasil y Chile tuvieron menores disminuciones en los puntajes obtenidos entre 2018 y 2022.</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extent cx="5399730" cy="2832100"/>
            <wp:effectExtent l="0" t="0" r="0" b="0"/>
            <wp:docPr id="153897252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5399730" cy="28321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ciencias naturales, en 2022 Bogotá obtuvo mejores resultados en esta prueba (459) que Colombia (411),  superando en 48 puntos los resultados nacionales. En 2022 Bogotá mantuvo su posición destacada, mientras que Colombia disminuyó 2 puntos. Con respecto a 2018, el promedio de países miembros de la OCDE disminuyó 2 puntos. Aunque los resultados en ciencias son más bajos en términos generales, los resultados de Bogotá están por encima de algunos países de la región como Argentina, Brasil, Chile, México, Perú y Uruguay.</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2844800"/>
            <wp:effectExtent l="0" t="0" r="0" b="0"/>
            <wp:docPr id="15389725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5399730" cy="28448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7.2 Brechas de la prueba Saber 11 por sector educativo y área evaluada</w:t>
      </w:r>
      <w:r>
        <w:rPr>
          <w:rFonts w:ascii="Times New Roman" w:eastAsia="Times New Roman" w:hAnsi="Times New Roman" w:cs="Times New Roman"/>
          <w:b/>
          <w:sz w:val="24"/>
          <w:szCs w:val="24"/>
          <w:vertAlign w:val="superscript"/>
        </w:rPr>
        <w:footnoteReference w:id="2"/>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Conforme a la Secretaría de Educación del Distrito, históricamente la brecha entre colegios públicos y privados se ha calculado con los datos de las pruebas Saber 11 hallando la diferencia en puntos porcentuales entre el porcentaje de colegios del sector privado y el porcentaje de colegios del sector oficial distrital ubicados en las categorías más altas (A+ y A) del examen Saber 11.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Del total de colegios privados, más del 70% se mantienen ubicados en las categorías más altas (A y A+) en los últimos años. En cuanto a los colegios públicos, desde 2019 hasta 2021 el porcentaje venía disminuyendo, aunque para 2022 se observa un aumento del 1,6% de colegios clasificados en A y A+. Ha disminuido la diferencia de porcentaje entre colegios privados y públicos, pasando de 59,1 puntos porcentuales en 2021 a 57,3 puntos porcentuales en 2023.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399730" cy="2667000"/>
            <wp:effectExtent l="0" t="0" r="0" b="0"/>
            <wp:docPr id="15389725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5399730" cy="26670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7.4 Calidad del sistema educativo en Colombia</w:t>
      </w:r>
      <w:r>
        <w:rPr>
          <w:rFonts w:ascii="Times New Roman" w:eastAsia="Times New Roman" w:hAnsi="Times New Roman" w:cs="Times New Roman"/>
          <w:b/>
          <w:sz w:val="24"/>
          <w:szCs w:val="24"/>
          <w:vertAlign w:val="superscript"/>
        </w:rPr>
        <w:footnoteReference w:id="3"/>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Un artículo de Razón Pública, en relación con los resultados de la prueba PISA 2022 para el país, señala que el sistema educativo de Colombia es de mala calidad, al estar lejos del promedio de la OCDE y de otros países latinoamericanos.</w:t>
      </w: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br w:type="page"/>
      </w: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extent cx="5399730" cy="2933700"/>
            <wp:effectExtent l="0" t="0" r="0" b="0"/>
            <wp:docPr id="153897252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8"/>
                    <a:srcRect/>
                    <a:stretch>
                      <a:fillRect/>
                    </a:stretch>
                  </pic:blipFill>
                  <pic:spPr>
                    <a:xfrm>
                      <a:off x="0" y="0"/>
                      <a:ext cx="5399730" cy="2933700"/>
                    </a:xfrm>
                    <a:prstGeom prst="rect">
                      <a:avLst/>
                    </a:prstGeom>
                    <a:ln/>
                  </pic:spPr>
                </pic:pic>
              </a:graphicData>
            </a:graphic>
          </wp:inline>
        </w:drawing>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Los bajos puntajes de los estudiantes colombianos se han mantenido desde el año 2006. En los resultados de PISA 2022, el 71% de los estudiantes del país no alcanza las competencias básicas en matemáticas, mientras que el 51% no alcanza el nivel básico en ciencias y lectura. Estos resultados son similares a los puntajes de los bachilleres en las pruebas Saber 11 de 2022: el puntaje promedio fue de 250 sobre 500 puntos.</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Bogotá se han tenido mejoras, en parte, gracias a los colegios privados y a las políticas de calidad de los colegios oficiales.</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 a los avances en cobertura y permanencia en el país, falta pensamiento crítico y formación ciudadana. La mala calidad educativa tiene efectos en el desarrollo económico, la productividad de la economía, la distribución del ingreso y en la pobreza.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Frente a lo anterior, el pedagogo Julián de Zubiría señala que se requieren reformas estructurales: </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numPr>
          <w:ilvl w:val="0"/>
          <w:numId w:val="5"/>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Transformar las facultades de educación, dados los bajos resultados de las licenciaturas y de las facultades de educación.</w:t>
      </w:r>
    </w:p>
    <w:p w:rsidR="00FD1931" w:rsidRDefault="006879E2">
      <w:pPr>
        <w:numPr>
          <w:ilvl w:val="0"/>
          <w:numId w:val="5"/>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 debe acabar con la fragmentación curricular.</w:t>
      </w:r>
    </w:p>
    <w:p w:rsidR="00FD1931" w:rsidRDefault="006879E2">
      <w:pPr>
        <w:numPr>
          <w:ilvl w:val="0"/>
          <w:numId w:val="5"/>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Garantizar el acceso a preescolar en los tres grados.</w:t>
      </w:r>
    </w:p>
    <w:p w:rsidR="00FD1931" w:rsidRDefault="006879E2">
      <w:pPr>
        <w:numPr>
          <w:ilvl w:val="0"/>
          <w:numId w:val="5"/>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Crear una cultura institucional en cada colegio oficial liderada por los directivos docentes, con participación de la comunidad.</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7.5 Importancia de la iniciativa</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la iniciativa normativa bajo análisis se logra sustraer que pretende establecer lineamientos para que la Secretaría de Educación del Distrito diseñe, implemente y reglamente un plan actualizado de estímulos para la comunidad educativa de Bogotá. Este </w:t>
      </w:r>
      <w:r>
        <w:rPr>
          <w:rFonts w:ascii="Times New Roman" w:eastAsia="Times New Roman" w:hAnsi="Times New Roman" w:cs="Times New Roman"/>
          <w:sz w:val="24"/>
          <w:szCs w:val="24"/>
        </w:rPr>
        <w:lastRenderedPageBreak/>
        <w:t>sistema busca reconocer y promover buenas prácticas, procesos de mejora continua y logros significativos en todos los niveles del sistema educativo, desde la primera infancia hasta la educación media, garantizando criterios de equidad, inclusión y pertinencia.</w:t>
      </w: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Así mismo, el plan de estímulos propuesto estará dirigido a estudiantes, docentes, directivos docentes e instituciones educativas oficiales del Distrito Capital, y articulará incentivos tanto de carácter pecuniario como no pecuniario. Su diseño busca priorizar aquellos estímulos que fomenten la equidad, la inclusión y el cierre de brechas educativas, reconociendo no solo los resultados académicos, sino también los procesos, esfuerzos e innovaciones que contribuyan al mejoramiento integral de la educación. </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 importante puntualizar que le corresponde a la Secretaría de Educación del Distrito definir anualmente los criterios, modalidades y mecanismos de otorgamiento, asegurando su divulgación oportuna y pública, de manera que se garantice la transparencia, la participación y el reconocimiento social a las personas e instituciones que se destaquen por su aporte al fortalecimiento del sistema educativo de la ciudad.</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Por ello, es claro que el proyecto bajo análisis, de forma específica busca:</w:t>
      </w:r>
    </w:p>
    <w:p w:rsidR="00FD1931" w:rsidRDefault="006879E2">
      <w:pPr>
        <w:spacing w:after="0" w:line="240" w:lineRule="auto"/>
        <w:ind w:left="108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1. Reconocer y fortalecer las estrategias innovadoras para la atención integral a la primera infancia.</w:t>
      </w:r>
    </w:p>
    <w:p w:rsidR="00FD1931" w:rsidRDefault="006879E2">
      <w:pPr>
        <w:spacing w:after="0" w:line="240" w:lineRule="auto"/>
        <w:ind w:left="108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2. Incentivar mejoras sostenidas en indicadores de desempeño académico, administrativo, inclusión y equidad, bienestar socioemocional y convivencia escolar.</w:t>
      </w:r>
    </w:p>
    <w:p w:rsidR="00FD1931" w:rsidRDefault="006879E2">
      <w:pPr>
        <w:spacing w:after="0" w:line="240" w:lineRule="auto"/>
        <w:ind w:left="108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3. Estimular la excelencia en la labor docente y la articulación pedagógica con la educación media y terciaria.</w:t>
      </w:r>
    </w:p>
    <w:p w:rsidR="00FD1931" w:rsidRDefault="006879E2">
      <w:pPr>
        <w:spacing w:after="0" w:line="240" w:lineRule="auto"/>
        <w:ind w:left="108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4. Promover la permanencia escolar, el tránsito efectivo hacia la educación superior y el aumento de tasas de graduación.</w:t>
      </w:r>
    </w:p>
    <w:p w:rsidR="00FD1931" w:rsidRDefault="006879E2">
      <w:pPr>
        <w:spacing w:after="0" w:line="240" w:lineRule="auto"/>
        <w:ind w:left="108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5.  Reconocer los logros estudiantiles sobresalientes en pruebas estandarizadas, liderazgo y compromiso con la comunidad educativa.</w:t>
      </w:r>
    </w:p>
    <w:p w:rsidR="00FD1931" w:rsidRDefault="006879E2">
      <w:pPr>
        <w:spacing w:after="0" w:line="240" w:lineRule="auto"/>
        <w:ind w:left="108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6.  Fomentar la difusión y apropiación de buenas prácticas educativas a nivel institucional y territorial.</w:t>
      </w:r>
    </w:p>
    <w:p w:rsidR="00FD1931" w:rsidRDefault="006879E2">
      <w:pPr>
        <w:spacing w:after="0" w:line="240" w:lineRule="auto"/>
        <w:ind w:left="108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7. Garantizar que los incentivos se otorguen con criterios de transparencia, equidad y sostenibilidad fiscal, en coherencia con las políticas públicas del sector.</w:t>
      </w:r>
    </w:p>
    <w:p w:rsidR="00FD1931" w:rsidRDefault="00FD1931">
      <w:pPr>
        <w:spacing w:after="0" w:line="240" w:lineRule="auto"/>
        <w:ind w:left="1080" w:hanging="36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Expuesto lo anterior,</w:t>
      </w:r>
      <w:r>
        <w:rPr>
          <w:rFonts w:ascii="Times New Roman" w:eastAsia="Times New Roman" w:hAnsi="Times New Roman" w:cs="Times New Roman"/>
          <w:sz w:val="24"/>
          <w:szCs w:val="24"/>
        </w:rPr>
        <w:t xml:space="preserve"> se observa que la Secretaría de Educación del Distrito (SED) ha alcanzado avances significativos en la consolidación de un plan de estímulos para los colegios oficiales de la ciudad. Dicho plan ha tenido como propósito impulsar y reconocer las experiencias exitosas de docentes, directivos, estudiantes, colegios y redes de docentes, en línea con las políticas de calidad.</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Ahora, se constata que las líneas de política pública de estímulos a la calidad educativa deben consolidarse como un referente estratégico para la actuación de la Secretaría de Educación del Distrito. Estas líneas requieren orientarse hacia la promoción de acciones que fortalezcan la calidad del servicio educativo y garanticen que la asignación y ejecución de los recursos públicos respondan a principios de equidad y pertinencia, en </w:t>
      </w:r>
      <w:r>
        <w:rPr>
          <w:rFonts w:ascii="Times New Roman" w:eastAsia="Times New Roman" w:hAnsi="Times New Roman" w:cs="Times New Roman"/>
          <w:sz w:val="24"/>
          <w:szCs w:val="24"/>
        </w:rPr>
        <w:lastRenderedPageBreak/>
        <w:t>atención no solo a lo establecido en los planes sectoriales de educación, sino también a las necesidades de la comunidad.</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Como antecedente normativo, en 2007 el Concejo de Bogotá promulgó el Acuerdo 273, mediante el cual se estableció el sistema distrital de incentivos a la calidad educativa, con el objetivo de reconocer los logros de las instituciones educativas oficiales, así como de los directivos docentes y docentes que evidenciaran avances significativos en los procesos de gestión institucional y en los resultados de aprendizaje.</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Desde su implementación, este mecanismo ha contribuido al fortalecimiento de la cultura de la evaluación, la promoción de la innovación pedagógica y la visibilización de prácticas exitosas replicables en otros establecimientos educativos. Sin embargo, han transcurrido más de quince años de vigencia del acuerdo lo que ha permitido identificar las transformaciones sustanciales en el contexto educativo, entre las que se destacan: (i) la evolución de los marcos normativos nacionales en materia de calidad educativa; (ii) la consolidación de sistemas de información y evaluación externa; (iii) cambios sociales y culturales que demandan una educación inclusiva, equitativa y pertinente para poblaciones diversas y, (iv) la incorporación de tecnologías y metodologías innovadoras que han transformado las prácticas pedagógicas y la gestión escolar.</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 la revisión efectuada en calidad de ponencia se evidencia que la Secretaría de Educación del Distrito tiene un compromiso en la sistematización de información sobre la asignación de estímulos en la última década. En 2021 se realizó una caracterización de los incentivos vigentes, identificando sus criterios de selección, normatividad aplicable, periodicidad, naturaleza (pecuniarios y no pecuniarios) y procedimientos de convocatoria. En 2022 se reconocieron factores comunes en los colegios beneficiarios, como una gestión escolar fortalecida, liderazgo directivo y docente, trabajo colaborativo, innovación pedagógica, investigación y articulación con familias y comunidad.</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mismo sentido, el seguimiento realizado evidencia que los estímulos al personal docente potencian la investigación y la mejora de las prácticas pedagógicas e institucionales, mientras que en los estudiantes promueven su desarrollo integral, fomentan la participación en actividades académicas y culturales, y fortalecen competencias clave. Se destacan, además, los incentivos orientados al bilingüismo y a la continuidad en la educación superior, por su impacto en la permanencia escolar. En términos de eficacia y eficiencia, el esquema contribuye a la inclusión educativa, impulsa la innovación, y apoya a estudiantes en situación de vulnerabilidad, favoreciendo el cierre de brechas y trayectorias educativas completas.</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 por ello que consideramos que esta iniciativa normativa busca focalizar las líneas de atención prioritaria, precisar las características y criterios de asignación de los estímulos y establecer mecanismos de seguimiento que optimicen su implementación y distribución. De igual forma, se alinea con las políticas distritales de mejoramiento continuo, cierre de brechas, educación inclusiva, trayectorias completas, desde la primera infancia, fortalecimiento de la educación terciaria y reconocimiento de la labor docente como eje de la transformación educativa. </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D1931" w:rsidRDefault="006879E2">
      <w:pPr>
        <w:spacing w:after="0" w:line="240" w:lineRule="auto"/>
        <w:ind w:left="0"/>
        <w:rPr>
          <w:rFonts w:ascii="Times New Roman" w:eastAsia="Times New Roman" w:hAnsi="Times New Roman" w:cs="Times New Roman"/>
          <w:b/>
          <w:sz w:val="24"/>
          <w:szCs w:val="24"/>
        </w:rPr>
      </w:pPr>
      <w:bookmarkStart w:id="2" w:name="_heading=h.30j0zll" w:colFirst="0" w:colLast="0"/>
      <w:bookmarkEnd w:id="2"/>
      <w:r>
        <w:rPr>
          <w:rFonts w:ascii="Times New Roman" w:eastAsia="Times New Roman" w:hAnsi="Times New Roman" w:cs="Times New Roman"/>
          <w:b/>
          <w:sz w:val="24"/>
          <w:szCs w:val="24"/>
        </w:rPr>
        <w:t>8. PLIEGO DE MODIFICACIONES</w:t>
      </w:r>
    </w:p>
    <w:p w:rsidR="00FD1931" w:rsidRDefault="006879E2">
      <w:pPr>
        <w:spacing w:after="0" w:line="240" w:lineRule="auto"/>
        <w:ind w:left="0"/>
        <w:rPr>
          <w:rFonts w:ascii="Arial" w:eastAsia="Arial" w:hAnsi="Arial" w:cs="Arial"/>
        </w:rPr>
      </w:pPr>
      <w:r>
        <w:rPr>
          <w:rFonts w:ascii="Times New Roman" w:eastAsia="Times New Roman" w:hAnsi="Times New Roman" w:cs="Times New Roman"/>
          <w:sz w:val="24"/>
          <w:szCs w:val="24"/>
        </w:rPr>
        <w:t xml:space="preserve">                       </w:t>
      </w:r>
    </w:p>
    <w:tbl>
      <w:tblPr>
        <w:tblStyle w:val="aa"/>
        <w:tblW w:w="892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9"/>
        <w:gridCol w:w="2951"/>
        <w:gridCol w:w="3015"/>
      </w:tblGrid>
      <w:tr w:rsidR="00FD1931">
        <w:tc>
          <w:tcPr>
            <w:tcW w:w="2958" w:type="dxa"/>
            <w:shd w:val="clear" w:color="auto" w:fill="auto"/>
            <w:tcMar>
              <w:top w:w="100" w:type="dxa"/>
              <w:left w:w="100" w:type="dxa"/>
              <w:bottom w:w="100" w:type="dxa"/>
              <w:right w:w="100" w:type="dxa"/>
            </w:tcMar>
          </w:tcPr>
          <w:p w:rsidR="00FD1931" w:rsidRDefault="006879E2" w:rsidP="00B032D3">
            <w:pPr>
              <w:widowControl w:val="0"/>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PROYECTO </w:t>
            </w:r>
            <w:r w:rsidR="00B032D3">
              <w:rPr>
                <w:rFonts w:ascii="Times New Roman" w:eastAsia="Times New Roman" w:hAnsi="Times New Roman" w:cs="Times New Roman"/>
                <w:b/>
                <w:sz w:val="20"/>
                <w:szCs w:val="20"/>
              </w:rPr>
              <w:t>851</w:t>
            </w:r>
            <w:r>
              <w:rPr>
                <w:rFonts w:ascii="Times New Roman" w:eastAsia="Times New Roman" w:hAnsi="Times New Roman" w:cs="Times New Roman"/>
                <w:b/>
                <w:sz w:val="20"/>
                <w:szCs w:val="20"/>
              </w:rPr>
              <w:t xml:space="preserve"> de 2025</w:t>
            </w:r>
          </w:p>
        </w:tc>
        <w:tc>
          <w:tcPr>
            <w:tcW w:w="2951" w:type="dxa"/>
            <w:shd w:val="clear" w:color="auto" w:fill="auto"/>
            <w:tcMar>
              <w:top w:w="100" w:type="dxa"/>
              <w:left w:w="100" w:type="dxa"/>
              <w:bottom w:w="100" w:type="dxa"/>
              <w:right w:w="100" w:type="dxa"/>
            </w:tcMar>
          </w:tcPr>
          <w:p w:rsidR="00FD1931" w:rsidRDefault="006879E2">
            <w:pPr>
              <w:widowControl w:val="0"/>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PLIEGO DE MODIFICACIONES</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JUSTIFICACIÓN </w:t>
            </w:r>
          </w:p>
        </w:tc>
      </w:tr>
      <w:tr w:rsidR="00FD1931">
        <w:tc>
          <w:tcPr>
            <w:tcW w:w="2958" w:type="dxa"/>
            <w:shd w:val="clear" w:color="auto" w:fill="auto"/>
            <w:tcMar>
              <w:top w:w="100" w:type="dxa"/>
              <w:left w:w="100" w:type="dxa"/>
              <w:bottom w:w="100" w:type="dxa"/>
              <w:right w:w="100" w:type="dxa"/>
            </w:tcMar>
          </w:tcPr>
          <w:p w:rsidR="00FD1931" w:rsidRDefault="006879E2">
            <w:pPr>
              <w:spacing w:after="0" w:line="240" w:lineRule="auto"/>
              <w:ind w:left="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“POR MEDIO DEL CUAL SE FOMENTA EL MEJORAMIENTO DE LA EDUCACIÓN DE BOGOTÁ Y SE DICTAN OTRAS DISPOSICIONES”</w:t>
            </w:r>
          </w:p>
          <w:p w:rsidR="00FD1931" w:rsidRDefault="00FD1931">
            <w:pPr>
              <w:widowControl w:val="0"/>
              <w:spacing w:after="0" w:line="240" w:lineRule="auto"/>
              <w:ind w:left="0"/>
              <w:jc w:val="left"/>
              <w:rPr>
                <w:rFonts w:ascii="Times New Roman" w:eastAsia="Times New Roman" w:hAnsi="Times New Roman" w:cs="Times New Roman"/>
                <w:sz w:val="20"/>
                <w:szCs w:val="20"/>
              </w:rPr>
            </w:pPr>
          </w:p>
        </w:tc>
        <w:tc>
          <w:tcPr>
            <w:tcW w:w="2951" w:type="dxa"/>
            <w:shd w:val="clear" w:color="auto" w:fill="auto"/>
            <w:tcMar>
              <w:top w:w="100" w:type="dxa"/>
              <w:left w:w="100" w:type="dxa"/>
              <w:bottom w:w="100" w:type="dxa"/>
              <w:right w:w="100" w:type="dxa"/>
            </w:tcMar>
          </w:tcPr>
          <w:p w:rsidR="00FD1931" w:rsidRDefault="006879E2">
            <w:pPr>
              <w:widowControl w:val="0"/>
              <w:spacing w:after="0" w:line="240" w:lineRule="auto"/>
              <w:ind w:left="0"/>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“POR MEDIO </w:t>
            </w:r>
            <w:r>
              <w:rPr>
                <w:rFonts w:ascii="Times New Roman" w:eastAsia="Times New Roman" w:hAnsi="Times New Roman" w:cs="Times New Roman"/>
                <w:b/>
                <w:i/>
                <w:color w:val="FF0000"/>
                <w:sz w:val="20"/>
                <w:szCs w:val="20"/>
              </w:rPr>
              <w:t>D</w:t>
            </w:r>
            <w:r>
              <w:rPr>
                <w:rFonts w:ascii="Times New Roman" w:eastAsia="Times New Roman" w:hAnsi="Times New Roman" w:cs="Times New Roman"/>
                <w:b/>
                <w:i/>
                <w:sz w:val="20"/>
                <w:szCs w:val="20"/>
              </w:rPr>
              <w:t xml:space="preserve">EL CUAL SE FOMENTA EL MEJORAMIENTO DE LA EDUCACIÓN DE BOGOTÁ, </w:t>
            </w:r>
            <w:r>
              <w:rPr>
                <w:rFonts w:ascii="Times New Roman" w:eastAsia="Times New Roman" w:hAnsi="Times New Roman" w:cs="Times New Roman"/>
                <w:b/>
                <w:i/>
                <w:color w:val="FF0000"/>
                <w:sz w:val="20"/>
                <w:szCs w:val="20"/>
                <w:highlight w:val="white"/>
              </w:rPr>
              <w:t>SE DEROGA EL ACUERDO 273 DE 2007, Y SE DICTAN OTRAS DISPOSICIONES</w:t>
            </w:r>
            <w:r>
              <w:rPr>
                <w:rFonts w:ascii="Times New Roman" w:eastAsia="Times New Roman" w:hAnsi="Times New Roman" w:cs="Times New Roman"/>
                <w:b/>
                <w:i/>
                <w:sz w:val="20"/>
                <w:szCs w:val="20"/>
              </w:rPr>
              <w:t>”</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Dado que la derogatoria se expresa en la vigencia, y para evitar duplicidad normativa, se incluye en el título que con la iniciativa se deroga el Acuerdo 273 de 2007. Se hace cambio de forma al título.</w:t>
            </w:r>
          </w:p>
        </w:tc>
      </w:tr>
      <w:tr w:rsidR="00FD1931">
        <w:tc>
          <w:tcPr>
            <w:tcW w:w="2958" w:type="dxa"/>
            <w:shd w:val="clear" w:color="auto" w:fill="auto"/>
            <w:tcMar>
              <w:top w:w="100" w:type="dxa"/>
              <w:left w:w="100" w:type="dxa"/>
              <w:bottom w:w="100" w:type="dxa"/>
              <w:right w:w="100" w:type="dxa"/>
            </w:tcMar>
          </w:tcPr>
          <w:p w:rsidR="00FD1931" w:rsidRDefault="00FD1931">
            <w:pPr>
              <w:spacing w:after="0" w:line="240" w:lineRule="auto"/>
              <w:ind w:left="0"/>
              <w:jc w:val="center"/>
              <w:rPr>
                <w:rFonts w:ascii="Times New Roman" w:eastAsia="Times New Roman" w:hAnsi="Times New Roman" w:cs="Times New Roman"/>
                <w:sz w:val="20"/>
                <w:szCs w:val="20"/>
              </w:rPr>
            </w:pPr>
          </w:p>
        </w:tc>
        <w:tc>
          <w:tcPr>
            <w:tcW w:w="2951" w:type="dxa"/>
            <w:shd w:val="clear" w:color="auto" w:fill="auto"/>
            <w:tcMar>
              <w:top w:w="100" w:type="dxa"/>
              <w:left w:w="100" w:type="dxa"/>
              <w:bottom w:w="100" w:type="dxa"/>
              <w:right w:w="100" w:type="dxa"/>
            </w:tcMar>
          </w:tcPr>
          <w:p w:rsidR="00FD1931" w:rsidRDefault="006879E2">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EL CONCEJO DE BOGOTÁ D.C.</w:t>
            </w:r>
          </w:p>
          <w:p w:rsidR="00FD1931" w:rsidRDefault="00FD1931">
            <w:pPr>
              <w:spacing w:after="0" w:line="240" w:lineRule="auto"/>
              <w:ind w:left="0"/>
              <w:jc w:val="center"/>
              <w:rPr>
                <w:rFonts w:ascii="Times New Roman" w:eastAsia="Times New Roman" w:hAnsi="Times New Roman" w:cs="Times New Roman"/>
                <w:b/>
                <w:sz w:val="20"/>
                <w:szCs w:val="20"/>
              </w:rPr>
            </w:pPr>
          </w:p>
          <w:p w:rsidR="00FD1931" w:rsidRDefault="006879E2">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En uso de sus atribuciones constitucionales y legales, en especial las que le confieren el numeral 1 del artículo 313 de la Constitución Política y el numeral 1 y 25 del artículo 12 del Decreto Ley 1421 de 1993.</w:t>
            </w:r>
          </w:p>
          <w:p w:rsidR="00FD1931" w:rsidRDefault="00FD1931">
            <w:pPr>
              <w:spacing w:after="0" w:line="240" w:lineRule="auto"/>
              <w:ind w:left="0"/>
              <w:jc w:val="left"/>
              <w:rPr>
                <w:rFonts w:ascii="Times New Roman" w:eastAsia="Times New Roman" w:hAnsi="Times New Roman" w:cs="Times New Roman"/>
                <w:sz w:val="20"/>
                <w:szCs w:val="20"/>
              </w:rPr>
            </w:pPr>
          </w:p>
          <w:p w:rsidR="00FD1931" w:rsidRDefault="006879E2">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ACUERDA</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Se agregan las atribuciones.</w:t>
            </w:r>
          </w:p>
        </w:tc>
      </w:tr>
      <w:tr w:rsidR="00FD1931">
        <w:tc>
          <w:tcPr>
            <w:tcW w:w="2958"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1. OBJETO. </w:t>
            </w:r>
            <w:r>
              <w:rPr>
                <w:rFonts w:ascii="Times New Roman" w:eastAsia="Times New Roman" w:hAnsi="Times New Roman" w:cs="Times New Roman"/>
                <w:sz w:val="20"/>
                <w:szCs w:val="20"/>
              </w:rPr>
              <w:t>Establecer lineamientos para que la Secretaría de Educación del Distrito cree incentivos dirigidos a la comunidad educativa para promover y fomentar el mejoramiento de la calidad y una visión integral de la educación en la ciudad de Bogotá, al igual que fortalecer la permanencia escolar en las aulas</w:t>
            </w:r>
          </w:p>
          <w:p w:rsidR="00FD1931" w:rsidRDefault="00FD1931">
            <w:pPr>
              <w:widowControl w:val="0"/>
              <w:spacing w:after="0" w:line="240" w:lineRule="auto"/>
              <w:ind w:left="0"/>
              <w:jc w:val="left"/>
              <w:rPr>
                <w:rFonts w:ascii="Times New Roman" w:eastAsia="Times New Roman" w:hAnsi="Times New Roman" w:cs="Times New Roman"/>
                <w:sz w:val="20"/>
                <w:szCs w:val="20"/>
              </w:rPr>
            </w:pPr>
          </w:p>
        </w:tc>
        <w:tc>
          <w:tcPr>
            <w:tcW w:w="2951"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 xml:space="preserve">ARTÍCULO 1. OBJETO. </w:t>
            </w:r>
            <w:r>
              <w:rPr>
                <w:rFonts w:ascii="Times New Roman" w:eastAsia="Times New Roman" w:hAnsi="Times New Roman" w:cs="Times New Roman"/>
                <w:sz w:val="20"/>
                <w:szCs w:val="20"/>
              </w:rPr>
              <w:t>E</w:t>
            </w:r>
            <w:r>
              <w:rPr>
                <w:rFonts w:ascii="Times New Roman" w:eastAsia="Times New Roman" w:hAnsi="Times New Roman" w:cs="Times New Roman"/>
                <w:color w:val="FF0000"/>
                <w:sz w:val="20"/>
                <w:szCs w:val="20"/>
              </w:rPr>
              <w:t>l presente Acuerdo tiene por objeto derogar el Acuerdo 273 de 2007 y e</w:t>
            </w:r>
            <w:r>
              <w:rPr>
                <w:rFonts w:ascii="Times New Roman" w:eastAsia="Times New Roman" w:hAnsi="Times New Roman" w:cs="Times New Roman"/>
                <w:sz w:val="20"/>
                <w:szCs w:val="20"/>
              </w:rPr>
              <w:t xml:space="preserve">stablecer lineamientos para que la Secretaría de Educación del Distrito cree incentivos dirigidos a la comunidad educativa para promover y fomentar el mejoramiento de la calidad </w:t>
            </w:r>
            <w:r>
              <w:rPr>
                <w:rFonts w:ascii="Times New Roman" w:eastAsia="Times New Roman" w:hAnsi="Times New Roman" w:cs="Times New Roman"/>
                <w:color w:val="FF0000"/>
                <w:sz w:val="20"/>
                <w:szCs w:val="20"/>
              </w:rPr>
              <w:t xml:space="preserve">educativa </w:t>
            </w:r>
            <w:r>
              <w:rPr>
                <w:rFonts w:ascii="Times New Roman" w:eastAsia="Times New Roman" w:hAnsi="Times New Roman" w:cs="Times New Roman"/>
                <w:strike/>
                <w:sz w:val="20"/>
                <w:szCs w:val="20"/>
              </w:rPr>
              <w:t>y una visión integral de la educación en la ciudad de Bogotá</w:t>
            </w:r>
            <w:r>
              <w:rPr>
                <w:rFonts w:ascii="Times New Roman" w:eastAsia="Times New Roman" w:hAnsi="Times New Roman" w:cs="Times New Roman"/>
                <w:sz w:val="20"/>
                <w:szCs w:val="20"/>
              </w:rPr>
              <w:t>, al igual que fortalecer la permanencia escolar en las aulas.</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Se deja de manera expresa que, al igual que el título, se deroga el acuerdo 273 de 2007. Se elimina el texto tachado por considerar que es ambiguo, abstracto y no se estaría regulando algo en específico.</w:t>
            </w:r>
          </w:p>
        </w:tc>
      </w:tr>
      <w:tr w:rsidR="00FD1931">
        <w:tc>
          <w:tcPr>
            <w:tcW w:w="2958"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CAPÍTULO 1. </w:t>
            </w:r>
          </w:p>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ESTRATEGIAS DE PERMANENCIA ESCOLAR</w:t>
            </w:r>
          </w:p>
          <w:p w:rsidR="00FD1931" w:rsidRDefault="00FD1931">
            <w:pPr>
              <w:shd w:val="clear" w:color="auto" w:fill="FFFFFF"/>
              <w:spacing w:after="0" w:line="240" w:lineRule="auto"/>
              <w:ind w:left="0"/>
              <w:jc w:val="center"/>
              <w:rPr>
                <w:rFonts w:ascii="Times New Roman" w:eastAsia="Times New Roman" w:hAnsi="Times New Roman" w:cs="Times New Roman"/>
                <w:b/>
                <w:sz w:val="20"/>
                <w:szCs w:val="20"/>
              </w:rPr>
            </w:pPr>
          </w:p>
          <w:p w:rsidR="00FD1931" w:rsidRDefault="006879E2">
            <w:pPr>
              <w:shd w:val="clear" w:color="auto" w:fill="FFFFFF"/>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ARTÍCULO 2. GRATUIDAD. </w:t>
            </w:r>
            <w:r>
              <w:rPr>
                <w:rFonts w:ascii="Times New Roman" w:eastAsia="Times New Roman" w:hAnsi="Times New Roman" w:cs="Times New Roman"/>
                <w:sz w:val="20"/>
                <w:szCs w:val="20"/>
              </w:rPr>
              <w:t xml:space="preserve">La Secretaría de Educación garantizará la gratuidad para todos los estudiantes de las instituciones educativas oficiales de Bogotá desde primera infancia hasta educación media o educación por </w:t>
            </w:r>
            <w:r>
              <w:rPr>
                <w:rFonts w:ascii="Times New Roman" w:eastAsia="Times New Roman" w:hAnsi="Times New Roman" w:cs="Times New Roman"/>
                <w:sz w:val="20"/>
                <w:szCs w:val="20"/>
              </w:rPr>
              <w:lastRenderedPageBreak/>
              <w:t>ciclos. Por lo que las Instituciones Educativas Distritales (IED) no podrán realizar cobros por derechos académicos o servicios complementarios.</w:t>
            </w:r>
          </w:p>
          <w:p w:rsidR="00FD1931" w:rsidRDefault="00FD1931">
            <w:pPr>
              <w:widowControl w:val="0"/>
              <w:spacing w:after="0" w:line="240" w:lineRule="auto"/>
              <w:ind w:left="0"/>
              <w:rPr>
                <w:rFonts w:ascii="Times New Roman" w:eastAsia="Times New Roman" w:hAnsi="Times New Roman" w:cs="Times New Roman"/>
                <w:sz w:val="20"/>
                <w:szCs w:val="20"/>
              </w:rPr>
            </w:pPr>
          </w:p>
        </w:tc>
        <w:tc>
          <w:tcPr>
            <w:tcW w:w="2951"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CAPÍTULO 1. </w:t>
            </w:r>
          </w:p>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ESTRATEGIAS DE PERMANENCIA ESCOLAR</w:t>
            </w:r>
          </w:p>
          <w:p w:rsidR="00FD1931" w:rsidRDefault="00FD1931">
            <w:pPr>
              <w:shd w:val="clear" w:color="auto" w:fill="FFFFFF"/>
              <w:spacing w:after="0" w:line="240" w:lineRule="auto"/>
              <w:ind w:left="0"/>
              <w:rPr>
                <w:rFonts w:ascii="Times New Roman" w:eastAsia="Times New Roman" w:hAnsi="Times New Roman" w:cs="Times New Roman"/>
                <w:b/>
                <w:sz w:val="20"/>
                <w:szCs w:val="20"/>
              </w:rPr>
            </w:pPr>
          </w:p>
          <w:p w:rsidR="00FD1931" w:rsidRDefault="006879E2">
            <w:pP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2. GRATUIDAD. </w:t>
            </w:r>
            <w:r>
              <w:rPr>
                <w:rFonts w:ascii="Times New Roman" w:eastAsia="Times New Roman" w:hAnsi="Times New Roman" w:cs="Times New Roman"/>
                <w:sz w:val="20"/>
                <w:szCs w:val="20"/>
              </w:rPr>
              <w:t xml:space="preserve">La Secretaría de Educación </w:t>
            </w:r>
            <w:r>
              <w:rPr>
                <w:rFonts w:ascii="Times New Roman" w:eastAsia="Times New Roman" w:hAnsi="Times New Roman" w:cs="Times New Roman"/>
                <w:color w:val="FF0000"/>
                <w:sz w:val="20"/>
                <w:szCs w:val="20"/>
              </w:rPr>
              <w:t xml:space="preserve">del Distrito </w:t>
            </w:r>
            <w:r>
              <w:rPr>
                <w:rFonts w:ascii="Times New Roman" w:eastAsia="Times New Roman" w:hAnsi="Times New Roman" w:cs="Times New Roman"/>
                <w:sz w:val="20"/>
                <w:szCs w:val="20"/>
              </w:rPr>
              <w:t xml:space="preserve">garantizará la gratuidad para </w:t>
            </w:r>
            <w:r>
              <w:rPr>
                <w:rFonts w:ascii="Times New Roman" w:eastAsia="Times New Roman" w:hAnsi="Times New Roman" w:cs="Times New Roman"/>
                <w:color w:val="FF0000"/>
                <w:sz w:val="20"/>
                <w:szCs w:val="20"/>
              </w:rPr>
              <w:t xml:space="preserve">todas y </w:t>
            </w:r>
            <w:r>
              <w:rPr>
                <w:rFonts w:ascii="Times New Roman" w:eastAsia="Times New Roman" w:hAnsi="Times New Roman" w:cs="Times New Roman"/>
                <w:sz w:val="20"/>
                <w:szCs w:val="20"/>
              </w:rPr>
              <w:t>todos los estudiantes de las instituciones educativas oficiales de Bogotá</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desde primera infancia hasta educación media o </w:t>
            </w:r>
            <w:r>
              <w:rPr>
                <w:rFonts w:ascii="Times New Roman" w:eastAsia="Times New Roman" w:hAnsi="Times New Roman" w:cs="Times New Roman"/>
                <w:sz w:val="20"/>
                <w:szCs w:val="20"/>
              </w:rPr>
              <w:lastRenderedPageBreak/>
              <w:t xml:space="preserve">educación por ciclos. </w:t>
            </w:r>
            <w:r>
              <w:rPr>
                <w:rFonts w:ascii="Times New Roman" w:eastAsia="Times New Roman" w:hAnsi="Times New Roman" w:cs="Times New Roman"/>
                <w:strike/>
                <w:sz w:val="20"/>
                <w:szCs w:val="20"/>
              </w:rPr>
              <w:t xml:space="preserve">Por lo que </w:t>
            </w:r>
            <w:r>
              <w:rPr>
                <w:rFonts w:ascii="Times New Roman" w:eastAsia="Times New Roman" w:hAnsi="Times New Roman" w:cs="Times New Roman"/>
                <w:color w:val="FF0000"/>
                <w:sz w:val="20"/>
                <w:szCs w:val="20"/>
              </w:rPr>
              <w:t>L</w:t>
            </w:r>
            <w:r>
              <w:rPr>
                <w:rFonts w:ascii="Times New Roman" w:eastAsia="Times New Roman" w:hAnsi="Times New Roman" w:cs="Times New Roman"/>
                <w:sz w:val="20"/>
                <w:szCs w:val="20"/>
              </w:rPr>
              <w:t>as Instituciones Educativas Distritales (IED) no podrán realizar cobros por derechos académicos o servicios complementarios.</w:t>
            </w:r>
          </w:p>
          <w:p w:rsidR="00FD1931" w:rsidRDefault="00FD1931">
            <w:pPr>
              <w:shd w:val="clear" w:color="auto" w:fill="FFFFFF"/>
              <w:spacing w:after="0" w:line="240" w:lineRule="auto"/>
              <w:ind w:left="0"/>
              <w:rPr>
                <w:rFonts w:ascii="Times New Roman" w:eastAsia="Times New Roman" w:hAnsi="Times New Roman" w:cs="Times New Roman"/>
                <w:sz w:val="20"/>
                <w:szCs w:val="20"/>
              </w:rPr>
            </w:pPr>
          </w:p>
          <w:p w:rsidR="00FD1931" w:rsidRDefault="006879E2">
            <w:pP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color w:val="FF0000"/>
                <w:sz w:val="20"/>
                <w:szCs w:val="20"/>
                <w:highlight w:val="white"/>
              </w:rPr>
              <w:t>PARÁGRAFO:</w:t>
            </w:r>
            <w:r>
              <w:rPr>
                <w:rFonts w:ascii="Times New Roman" w:eastAsia="Times New Roman" w:hAnsi="Times New Roman" w:cs="Times New Roman"/>
                <w:color w:val="FF0000"/>
                <w:sz w:val="20"/>
                <w:szCs w:val="20"/>
                <w:highlight w:val="white"/>
              </w:rPr>
              <w:t xml:space="preserve"> La Secretaría de Educación del Distrito priorizará a estudiantes que se encuentren en situación de vulnerabilidad manifiesta.</w:t>
            </w:r>
          </w:p>
        </w:tc>
        <w:tc>
          <w:tcPr>
            <w:tcW w:w="3015" w:type="dxa"/>
            <w:shd w:val="clear" w:color="auto" w:fill="auto"/>
            <w:tcMar>
              <w:top w:w="100" w:type="dxa"/>
              <w:left w:w="100" w:type="dxa"/>
              <w:bottom w:w="100" w:type="dxa"/>
              <w:right w:w="100" w:type="dxa"/>
            </w:tcMar>
          </w:tcPr>
          <w:p w:rsidR="00FD1931" w:rsidRDefault="006879E2">
            <w:pPr>
              <w:pBdr>
                <w:top w:val="nil"/>
                <w:left w:val="nil"/>
                <w:bottom w:val="nil"/>
                <w:right w:val="nil"/>
                <w:between w:val="nil"/>
              </w:pBdr>
              <w:shd w:val="clear" w:color="auto" w:fill="FFFFFF"/>
              <w:spacing w:after="0" w:line="240" w:lineRule="auto"/>
              <w:ind w:left="0"/>
              <w:rPr>
                <w:rFonts w:ascii="Times New Roman" w:eastAsia="Times New Roman" w:hAnsi="Times New Roman" w:cs="Times New Roman"/>
                <w:sz w:val="20"/>
                <w:szCs w:val="20"/>
              </w:rPr>
            </w:pPr>
            <w:bookmarkStart w:id="3" w:name="_heading=h.va9xmj2vt35v" w:colFirst="0" w:colLast="0"/>
            <w:bookmarkEnd w:id="3"/>
            <w:r>
              <w:rPr>
                <w:rFonts w:ascii="Times New Roman" w:eastAsia="Times New Roman" w:hAnsi="Times New Roman" w:cs="Times New Roman"/>
                <w:sz w:val="20"/>
                <w:szCs w:val="20"/>
              </w:rPr>
              <w:lastRenderedPageBreak/>
              <w:t>Por enfoque de género se incluye la palabra ‘todas’. Si bien se busca ofrecer gratuidad, es clave hacer énfasis en la prelación de derechos y acceso a servicios públicos esenciales de la población vulnerable, que tiene rango constitucional.</w:t>
            </w:r>
          </w:p>
        </w:tc>
      </w:tr>
      <w:tr w:rsidR="00FD1931">
        <w:tc>
          <w:tcPr>
            <w:tcW w:w="2958"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3. TRANSPORTE ESCOLAR.</w:t>
            </w:r>
            <w:r>
              <w:rPr>
                <w:rFonts w:ascii="Times New Roman" w:eastAsia="Times New Roman" w:hAnsi="Times New Roman" w:cs="Times New Roman"/>
                <w:sz w:val="20"/>
                <w:szCs w:val="20"/>
              </w:rPr>
              <w:t> Cuando no sea posible ofrecer el servicio educativo cerca de la residencia del estudiante, la Secretaría de Educación del Distrito garantizará su acceso a la educación mediante el suministro de apoyos de transporte escolar. Para tal fin, podrá implementar distintas modalidades, tales como rutas contratadas directamente, subsidios de transporte, transporte por medios alternativos, o mediante convenios con operadores de transporte público masivo u otras formas que se definan en el marco de la política pública de acceso y permanencia.</w:t>
            </w:r>
          </w:p>
          <w:p w:rsidR="00FD1931" w:rsidRDefault="00FD1931">
            <w:pPr>
              <w:shd w:val="clear" w:color="auto" w:fill="FFFFFF"/>
              <w:spacing w:after="0" w:line="240" w:lineRule="auto"/>
              <w:ind w:left="0"/>
              <w:rPr>
                <w:rFonts w:ascii="Times New Roman" w:eastAsia="Times New Roman" w:hAnsi="Times New Roman" w:cs="Times New Roman"/>
                <w:sz w:val="20"/>
                <w:szCs w:val="20"/>
              </w:rPr>
            </w:pPr>
          </w:p>
          <w:p w:rsidR="00FD1931" w:rsidRDefault="006879E2">
            <w:pP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Los apoyos de transporte estarán condicionados a la verificación de la asistencia regular de los estudiantes beneficiarios.</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w:t>
            </w:r>
            <w:r>
              <w:rPr>
                <w:rFonts w:ascii="Times New Roman" w:eastAsia="Times New Roman" w:hAnsi="Times New Roman" w:cs="Times New Roman"/>
                <w:sz w:val="20"/>
                <w:szCs w:val="20"/>
              </w:rPr>
              <w:t> La Secretaría de Educación del Distrito reglamentará los mecanismos para la determinación de beneficiarios y beneficiarias, el otorgamiento de los cupos y subsidios respectivos.</w:t>
            </w:r>
          </w:p>
        </w:tc>
        <w:tc>
          <w:tcPr>
            <w:tcW w:w="2951"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3. TRANSPORTE ESCOLAR.</w:t>
            </w:r>
            <w:r>
              <w:rPr>
                <w:rFonts w:ascii="Times New Roman" w:eastAsia="Times New Roman" w:hAnsi="Times New Roman" w:cs="Times New Roman"/>
                <w:sz w:val="20"/>
                <w:szCs w:val="20"/>
              </w:rPr>
              <w:t> Cuando no sea posible ofrecer el servicio educativo cerca de la residencia del estudiante, la Secretaría de Educación del Distrito garantizará su acceso a la educación mediante el suministro de apoyos de transporte escolar. Para tal fin, podrá implementar distintas modalidades, tales como rutas contratadas directamente</w:t>
            </w:r>
            <w:r>
              <w:rPr>
                <w:rFonts w:ascii="Times New Roman" w:eastAsia="Times New Roman" w:hAnsi="Times New Roman" w:cs="Times New Roman"/>
                <w:strike/>
                <w:sz w:val="20"/>
                <w:szCs w:val="20"/>
              </w:rPr>
              <w:t>,</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subsidios de transporte</w:t>
            </w:r>
            <w:r>
              <w:rPr>
                <w:rFonts w:ascii="Times New Roman" w:eastAsia="Times New Roman" w:hAnsi="Times New Roman" w:cs="Times New Roman"/>
                <w:strike/>
                <w:sz w:val="20"/>
                <w:szCs w:val="20"/>
              </w:rPr>
              <w:t>,</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transporte por medios alternativos </w:t>
            </w:r>
            <w:r>
              <w:rPr>
                <w:rFonts w:ascii="Times New Roman" w:eastAsia="Times New Roman" w:hAnsi="Times New Roman" w:cs="Times New Roman"/>
                <w:color w:val="FF0000"/>
                <w:sz w:val="20"/>
                <w:szCs w:val="20"/>
              </w:rPr>
              <w:t>(caminata, bicicleta, tricimoviles, patinetas, vehículos eléctricos/híbridos y en general medios no contaminantes)</w:t>
            </w:r>
            <w:r>
              <w:rPr>
                <w:rFonts w:ascii="Times New Roman" w:eastAsia="Times New Roman" w:hAnsi="Times New Roman" w:cs="Times New Roman"/>
                <w:strike/>
                <w:sz w:val="20"/>
                <w:szCs w:val="20"/>
              </w:rPr>
              <w:t>, o</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mediante convenios con operadores de transporte público masivo u otras formas que se definan en el marco de la política pública de acceso y permanencia.</w:t>
            </w:r>
          </w:p>
          <w:p w:rsidR="00FD1931" w:rsidRDefault="00FD1931">
            <w:pPr>
              <w:shd w:val="clear" w:color="auto" w:fill="FFFFFF"/>
              <w:spacing w:after="0" w:line="240" w:lineRule="auto"/>
              <w:ind w:left="0"/>
              <w:rPr>
                <w:rFonts w:ascii="Times New Roman" w:eastAsia="Times New Roman" w:hAnsi="Times New Roman" w:cs="Times New Roman"/>
                <w:sz w:val="20"/>
                <w:szCs w:val="20"/>
              </w:rPr>
            </w:pPr>
          </w:p>
          <w:p w:rsidR="00FD1931" w:rsidRDefault="006879E2">
            <w:pP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Los apoyos de transporte estarán condicionados a la verificación de la asistencia regular de los estudiantes beneficiarios.</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shd w:val="clear" w:color="auto" w:fill="FFFFFF"/>
              <w:spacing w:after="0" w:line="240" w:lineRule="auto"/>
              <w:ind w:left="0"/>
              <w:rPr>
                <w:rFonts w:ascii="Times New Roman" w:eastAsia="Times New Roman" w:hAnsi="Times New Roman" w:cs="Times New Roman"/>
                <w:strike/>
                <w:sz w:val="20"/>
                <w:szCs w:val="20"/>
              </w:rPr>
            </w:pPr>
            <w:r>
              <w:rPr>
                <w:rFonts w:ascii="Times New Roman" w:eastAsia="Times New Roman" w:hAnsi="Times New Roman" w:cs="Times New Roman"/>
                <w:b/>
                <w:strike/>
                <w:sz w:val="20"/>
                <w:szCs w:val="20"/>
              </w:rPr>
              <w:t>PARÁGRAFO.</w:t>
            </w:r>
            <w:r>
              <w:rPr>
                <w:rFonts w:ascii="Times New Roman" w:eastAsia="Times New Roman" w:hAnsi="Times New Roman" w:cs="Times New Roman"/>
                <w:strike/>
                <w:sz w:val="20"/>
                <w:szCs w:val="20"/>
              </w:rPr>
              <w:t> La Secretaría de Educación del Distrito reglamentará los mecanismos para la determinación de beneficiarios y beneficiarias, el otorgamiento de los cupos y subsidios respectivos.</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Se elimina el parágrafo por cuanto ya se expresa la competencia en el artículo 9º de la iniciativa y sería redundante señalar que es competencia de la SED reglamentar lo expuesto en cada artículo. Asimismo, se especifica cuáles son los medios de transporte alternativos según leyes y decretos del orden nacional (Ley 1083 de 2006 Por medio de la cual se establecen algunas normas sobre planeación urbana sostenible y se dictan otras disposiciones).</w:t>
            </w:r>
          </w:p>
        </w:tc>
      </w:tr>
      <w:tr w:rsidR="00FD1931">
        <w:tc>
          <w:tcPr>
            <w:tcW w:w="2958"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4. ALIMENTACIÓN ESCOLAR.</w:t>
            </w:r>
            <w:r>
              <w:rPr>
                <w:rFonts w:ascii="Times New Roman" w:eastAsia="Times New Roman" w:hAnsi="Times New Roman" w:cs="Times New Roman"/>
                <w:sz w:val="20"/>
                <w:szCs w:val="20"/>
              </w:rPr>
              <w:t xml:space="preserve"> La Secretaría de Educación del Distrito suministrará el Programa de Alimentación Escolar a estudiantes en las instituciones </w:t>
            </w:r>
            <w:r>
              <w:rPr>
                <w:rFonts w:ascii="Times New Roman" w:eastAsia="Times New Roman" w:hAnsi="Times New Roman" w:cs="Times New Roman"/>
                <w:sz w:val="20"/>
                <w:szCs w:val="20"/>
              </w:rPr>
              <w:lastRenderedPageBreak/>
              <w:t xml:space="preserve">educativas distritales de acuerdo con los principios de planeación presupuestal y los criterios de sostenibilidad fiscal contenidos en el ordenamiento jurídico colombiano, para lo cual podrá ofrecer el servicio por períodos iguales o superiores al calendario académico. </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 ese fin gestionará la planeación y administración de los contratos y convenios, a fin de garantizar la operación oportuna del programa. </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w:t>
            </w:r>
            <w:r>
              <w:rPr>
                <w:rFonts w:ascii="Times New Roman" w:eastAsia="Times New Roman" w:hAnsi="Times New Roman" w:cs="Times New Roman"/>
                <w:sz w:val="20"/>
                <w:szCs w:val="20"/>
              </w:rPr>
              <w:t xml:space="preserve"> La Secretaría podrá disponer, con recursos del presupuesto distrital, la entrega de refrigerios a estudiantes que presenten las pruebas Saber 11 en instituciones educativas de Bogotá.</w:t>
            </w:r>
          </w:p>
        </w:tc>
        <w:tc>
          <w:tcPr>
            <w:tcW w:w="2951"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ARTÍCULO 4. ALIMENTACIÓN ESCOLAR.</w:t>
            </w:r>
            <w:r>
              <w:rPr>
                <w:rFonts w:ascii="Times New Roman" w:eastAsia="Times New Roman" w:hAnsi="Times New Roman" w:cs="Times New Roman"/>
                <w:sz w:val="20"/>
                <w:szCs w:val="20"/>
              </w:rPr>
              <w:t xml:space="preserve"> La Secretaría de Educación del Distrito </w:t>
            </w:r>
            <w:r>
              <w:rPr>
                <w:rFonts w:ascii="Times New Roman" w:eastAsia="Times New Roman" w:hAnsi="Times New Roman" w:cs="Times New Roman"/>
                <w:color w:val="FF0000"/>
                <w:sz w:val="20"/>
                <w:szCs w:val="20"/>
              </w:rPr>
              <w:t xml:space="preserve">podrá </w:t>
            </w:r>
            <w:r>
              <w:rPr>
                <w:rFonts w:ascii="Times New Roman" w:eastAsia="Times New Roman" w:hAnsi="Times New Roman" w:cs="Times New Roman"/>
                <w:sz w:val="20"/>
                <w:szCs w:val="20"/>
              </w:rPr>
              <w:t>suministrar</w:t>
            </w:r>
            <w:r>
              <w:rPr>
                <w:rFonts w:ascii="Times New Roman" w:eastAsia="Times New Roman" w:hAnsi="Times New Roman" w:cs="Times New Roman"/>
                <w:strike/>
                <w:sz w:val="20"/>
                <w:szCs w:val="20"/>
              </w:rPr>
              <w:t>á</w:t>
            </w:r>
            <w:r>
              <w:rPr>
                <w:rFonts w:ascii="Times New Roman" w:eastAsia="Times New Roman" w:hAnsi="Times New Roman" w:cs="Times New Roman"/>
                <w:sz w:val="20"/>
                <w:szCs w:val="20"/>
              </w:rPr>
              <w:t xml:space="preserve"> el Programa de Alimentación Escolar </w:t>
            </w:r>
            <w:r>
              <w:rPr>
                <w:rFonts w:ascii="Times New Roman" w:eastAsia="Times New Roman" w:hAnsi="Times New Roman" w:cs="Times New Roman"/>
                <w:color w:val="FF0000"/>
                <w:sz w:val="20"/>
                <w:szCs w:val="20"/>
              </w:rPr>
              <w:t xml:space="preserve">(PAE) </w:t>
            </w:r>
            <w:r>
              <w:rPr>
                <w:rFonts w:ascii="Times New Roman" w:eastAsia="Times New Roman" w:hAnsi="Times New Roman" w:cs="Times New Roman"/>
                <w:sz w:val="20"/>
                <w:szCs w:val="20"/>
              </w:rPr>
              <w:t xml:space="preserve">a estudiantes en las </w:t>
            </w:r>
            <w:r>
              <w:rPr>
                <w:rFonts w:ascii="Times New Roman" w:eastAsia="Times New Roman" w:hAnsi="Times New Roman" w:cs="Times New Roman"/>
                <w:color w:val="FF0000"/>
                <w:sz w:val="20"/>
                <w:szCs w:val="20"/>
              </w:rPr>
              <w:lastRenderedPageBreak/>
              <w:t>I</w:t>
            </w:r>
            <w:r>
              <w:rPr>
                <w:rFonts w:ascii="Times New Roman" w:eastAsia="Times New Roman" w:hAnsi="Times New Roman" w:cs="Times New Roman"/>
                <w:sz w:val="20"/>
                <w:szCs w:val="20"/>
              </w:rPr>
              <w:t xml:space="preserve">nstituciones </w:t>
            </w:r>
            <w:r>
              <w:rPr>
                <w:rFonts w:ascii="Times New Roman" w:eastAsia="Times New Roman" w:hAnsi="Times New Roman" w:cs="Times New Roman"/>
                <w:color w:val="FF0000"/>
                <w:sz w:val="20"/>
                <w:szCs w:val="20"/>
              </w:rPr>
              <w:t>E</w:t>
            </w:r>
            <w:r>
              <w:rPr>
                <w:rFonts w:ascii="Times New Roman" w:eastAsia="Times New Roman" w:hAnsi="Times New Roman" w:cs="Times New Roman"/>
                <w:sz w:val="20"/>
                <w:szCs w:val="20"/>
              </w:rPr>
              <w:t xml:space="preserve">ducativas </w:t>
            </w:r>
            <w:r>
              <w:rPr>
                <w:rFonts w:ascii="Times New Roman" w:eastAsia="Times New Roman" w:hAnsi="Times New Roman" w:cs="Times New Roman"/>
                <w:color w:val="FF0000"/>
                <w:sz w:val="20"/>
                <w:szCs w:val="20"/>
              </w:rPr>
              <w:t>D</w:t>
            </w:r>
            <w:r>
              <w:rPr>
                <w:rFonts w:ascii="Times New Roman" w:eastAsia="Times New Roman" w:hAnsi="Times New Roman" w:cs="Times New Roman"/>
                <w:sz w:val="20"/>
                <w:szCs w:val="20"/>
              </w:rPr>
              <w:t xml:space="preserve">istritales </w:t>
            </w:r>
            <w:r>
              <w:rPr>
                <w:rFonts w:ascii="Times New Roman" w:eastAsia="Times New Roman" w:hAnsi="Times New Roman" w:cs="Times New Roman"/>
                <w:color w:val="FF0000"/>
                <w:sz w:val="20"/>
                <w:szCs w:val="20"/>
              </w:rPr>
              <w:t>(IED)</w:t>
            </w:r>
            <w:r>
              <w:rPr>
                <w:rFonts w:ascii="Times New Roman" w:eastAsia="Times New Roman" w:hAnsi="Times New Roman" w:cs="Times New Roman"/>
                <w:sz w:val="20"/>
                <w:szCs w:val="20"/>
              </w:rPr>
              <w:t xml:space="preserve"> por períodos iguales o superiores al calendario académico</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de acuerdo con los principios de planeación presupuestal y los criterios de sostenibilidad fiscal contenidos en el ordenamiento jurídico colombiano.</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trike/>
                <w:sz w:val="20"/>
                <w:szCs w:val="20"/>
              </w:rPr>
            </w:pPr>
            <w:r>
              <w:rPr>
                <w:rFonts w:ascii="Times New Roman" w:eastAsia="Times New Roman" w:hAnsi="Times New Roman" w:cs="Times New Roman"/>
                <w:strike/>
                <w:sz w:val="20"/>
                <w:szCs w:val="20"/>
              </w:rPr>
              <w:t xml:space="preserve">Con ese fin gestionará la planeación y administración de los contratos y convenios, a fin de garantizar la operación oportuna del programa. </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PARÁGRAFO. </w:t>
            </w:r>
            <w:r>
              <w:rPr>
                <w:rFonts w:ascii="Times New Roman" w:eastAsia="Times New Roman" w:hAnsi="Times New Roman" w:cs="Times New Roman"/>
                <w:sz w:val="20"/>
                <w:szCs w:val="20"/>
              </w:rPr>
              <w:t xml:space="preserve">La Secretaría </w:t>
            </w:r>
            <w:r>
              <w:rPr>
                <w:rFonts w:ascii="Times New Roman" w:eastAsia="Times New Roman" w:hAnsi="Times New Roman" w:cs="Times New Roman"/>
                <w:color w:val="FF0000"/>
                <w:sz w:val="20"/>
                <w:szCs w:val="20"/>
              </w:rPr>
              <w:t xml:space="preserve">de Educación del Distrito </w:t>
            </w:r>
            <w:r>
              <w:rPr>
                <w:rFonts w:ascii="Times New Roman" w:eastAsia="Times New Roman" w:hAnsi="Times New Roman" w:cs="Times New Roman"/>
                <w:sz w:val="20"/>
                <w:szCs w:val="20"/>
              </w:rPr>
              <w:t xml:space="preserve">podrá disponer, con recursos del presupuesto distrital, la entrega de refrigerios a estudiantes </w:t>
            </w:r>
            <w:r>
              <w:rPr>
                <w:rFonts w:ascii="Times New Roman" w:eastAsia="Times New Roman" w:hAnsi="Times New Roman" w:cs="Times New Roman"/>
                <w:strike/>
                <w:sz w:val="20"/>
                <w:szCs w:val="20"/>
              </w:rPr>
              <w:t>que presenten</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 xml:space="preserve">durante la aplicación de </w:t>
            </w:r>
            <w:r>
              <w:rPr>
                <w:rFonts w:ascii="Times New Roman" w:eastAsia="Times New Roman" w:hAnsi="Times New Roman" w:cs="Times New Roman"/>
                <w:sz w:val="20"/>
                <w:szCs w:val="20"/>
              </w:rPr>
              <w:t>las pruebas Saber 11 en instituciones educativas de Bogotá.</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Se especifica que la entrega de refrigerios se hará </w:t>
            </w:r>
            <w:r>
              <w:rPr>
                <w:rFonts w:ascii="Times New Roman" w:eastAsia="Times New Roman" w:hAnsi="Times New Roman" w:cs="Times New Roman"/>
                <w:i/>
                <w:sz w:val="20"/>
                <w:szCs w:val="20"/>
              </w:rPr>
              <w:t>durante</w:t>
            </w:r>
            <w:r>
              <w:rPr>
                <w:rFonts w:ascii="Times New Roman" w:eastAsia="Times New Roman" w:hAnsi="Times New Roman" w:cs="Times New Roman"/>
                <w:sz w:val="20"/>
                <w:szCs w:val="20"/>
              </w:rPr>
              <w:t xml:space="preserve"> la aplicación de las pruebas Saber 11 para que no se dé lugar a confusión de que se entrega a los estudiantes por haber presentado la prueba, </w:t>
            </w:r>
            <w:r>
              <w:rPr>
                <w:rFonts w:ascii="Times New Roman" w:eastAsia="Times New Roman" w:hAnsi="Times New Roman" w:cs="Times New Roman"/>
                <w:sz w:val="20"/>
                <w:szCs w:val="20"/>
              </w:rPr>
              <w:lastRenderedPageBreak/>
              <w:t>dado que según el artículo 7º de la Ley 1324 de 2009 los exámenes de Estado son obligatorios en cada institución que imparta educación media.</w:t>
            </w:r>
          </w:p>
          <w:p w:rsidR="00FD1931" w:rsidRDefault="00FD1931">
            <w:pPr>
              <w:widowControl w:val="0"/>
              <w:spacing w:after="0" w:line="240" w:lineRule="auto"/>
              <w:ind w:left="0"/>
              <w:rPr>
                <w:rFonts w:ascii="Times New Roman" w:eastAsia="Times New Roman" w:hAnsi="Times New Roman" w:cs="Times New Roman"/>
                <w:sz w:val="20"/>
                <w:szCs w:val="20"/>
              </w:rPr>
            </w:pPr>
          </w:p>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Se elimina un inciso por cuanto ya hace parte de las funciones de la Secretaría de Educación la operación del programa.</w:t>
            </w:r>
          </w:p>
        </w:tc>
      </w:tr>
      <w:tr w:rsidR="00FD1931">
        <w:tc>
          <w:tcPr>
            <w:tcW w:w="2958"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ARTÍCULO 5. ORIENTACIÓN SOCIO OCUPACIONAL.</w:t>
            </w:r>
            <w:r>
              <w:rPr>
                <w:rFonts w:ascii="Times New Roman" w:eastAsia="Times New Roman" w:hAnsi="Times New Roman" w:cs="Times New Roman"/>
                <w:sz w:val="20"/>
                <w:szCs w:val="20"/>
              </w:rPr>
              <w:t xml:space="preserve"> La Secretaría de Educación promoverá acciones de orientación socio ocupacional a estudiantes de básica secundaria y educación media, incluyendo talleres de habilidades para la vida en los que acompañará a jóvenes en la búsqueda y definición de metas en sus proyectos de vida</w:t>
            </w:r>
          </w:p>
        </w:tc>
        <w:tc>
          <w:tcPr>
            <w:tcW w:w="2951"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5. ORIENTACIÓN SOCIO OCUPACIONAL.</w:t>
            </w:r>
            <w:r>
              <w:rPr>
                <w:rFonts w:ascii="Times New Roman" w:eastAsia="Times New Roman" w:hAnsi="Times New Roman" w:cs="Times New Roman"/>
                <w:sz w:val="20"/>
                <w:szCs w:val="20"/>
              </w:rPr>
              <w:t xml:space="preserve"> La Secretaría de Educación </w:t>
            </w:r>
            <w:r>
              <w:rPr>
                <w:rFonts w:ascii="Times New Roman" w:eastAsia="Times New Roman" w:hAnsi="Times New Roman" w:cs="Times New Roman"/>
                <w:color w:val="FF0000"/>
                <w:sz w:val="20"/>
                <w:szCs w:val="20"/>
              </w:rPr>
              <w:t>del Distrito</w:t>
            </w:r>
            <w:r>
              <w:rPr>
                <w:rFonts w:ascii="Times New Roman" w:eastAsia="Times New Roman" w:hAnsi="Times New Roman" w:cs="Times New Roman"/>
                <w:sz w:val="20"/>
                <w:szCs w:val="20"/>
              </w:rPr>
              <w:t xml:space="preserve"> promoverá acciones de orientación socio ocupacional a estudiantes de básica secundaria y educación media, incluyendo talleres de habilidades para la vida en los que acompañará a jóvenes en la búsqueda y definición de metas en sus proyectos de vida.</w:t>
            </w:r>
          </w:p>
        </w:tc>
        <w:tc>
          <w:tcPr>
            <w:tcW w:w="3015" w:type="dxa"/>
            <w:shd w:val="clear" w:color="auto" w:fill="auto"/>
            <w:tcMar>
              <w:top w:w="100" w:type="dxa"/>
              <w:left w:w="100" w:type="dxa"/>
              <w:bottom w:w="100" w:type="dxa"/>
              <w:right w:w="100" w:type="dxa"/>
            </w:tcMar>
          </w:tcPr>
          <w:p w:rsidR="00FD1931" w:rsidRDefault="00FD1931">
            <w:pPr>
              <w:widowControl w:val="0"/>
              <w:spacing w:after="0" w:line="240" w:lineRule="auto"/>
              <w:ind w:left="0"/>
              <w:rPr>
                <w:rFonts w:ascii="Times New Roman" w:eastAsia="Times New Roman" w:hAnsi="Times New Roman" w:cs="Times New Roman"/>
                <w:sz w:val="20"/>
                <w:szCs w:val="20"/>
              </w:rPr>
            </w:pPr>
          </w:p>
        </w:tc>
      </w:tr>
      <w:tr w:rsidR="00FD1931">
        <w:tc>
          <w:tcPr>
            <w:tcW w:w="2958"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CAPÍTULO 2.</w:t>
            </w:r>
          </w:p>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INCENTIVOS PARA EL MEJORAMIENTO DE LA EDUCACIÓN DE BOGOTÁ</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ARTÍCULO 6. ESTÍMULOS PARA FORTALECIMIENTO DE LA PRIMERA INFANCIA. </w:t>
            </w:r>
            <w:r>
              <w:rPr>
                <w:rFonts w:ascii="Times New Roman" w:eastAsia="Times New Roman" w:hAnsi="Times New Roman" w:cs="Times New Roman"/>
                <w:sz w:val="20"/>
                <w:szCs w:val="20"/>
              </w:rPr>
              <w:t xml:space="preserve">La Secretaría de Educación del Distrito podrá otorgar incentivos a las IED que desarrollen, implementen o fortalezcan estrategias innovadoras orientadas a la atención integral a la primera infancia. Estos estímulos </w:t>
            </w:r>
            <w:r>
              <w:rPr>
                <w:rFonts w:ascii="Times New Roman" w:eastAsia="Times New Roman" w:hAnsi="Times New Roman" w:cs="Times New Roman"/>
                <w:sz w:val="20"/>
                <w:szCs w:val="20"/>
              </w:rPr>
              <w:lastRenderedPageBreak/>
              <w:t>reconocerán el compromiso con el desarrollo de niñas y niños menores de (6) seis años en aspectos pedagógicos, de participación familiar y de generación de entornos protectores que tengan en cuenta su edad, condiciones particulares y contexto sociocultural.</w:t>
            </w:r>
          </w:p>
          <w:p w:rsidR="00FD1931" w:rsidRDefault="00FD1931">
            <w:pPr>
              <w:widowControl w:val="0"/>
              <w:spacing w:after="0" w:line="240" w:lineRule="auto"/>
              <w:ind w:left="0"/>
              <w:rPr>
                <w:rFonts w:ascii="Times New Roman" w:eastAsia="Times New Roman" w:hAnsi="Times New Roman" w:cs="Times New Roman"/>
                <w:sz w:val="20"/>
                <w:szCs w:val="20"/>
              </w:rPr>
            </w:pPr>
          </w:p>
        </w:tc>
        <w:tc>
          <w:tcPr>
            <w:tcW w:w="2951"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CAPÍTULO 2.</w:t>
            </w:r>
          </w:p>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INCENTIVOS PARA EL MEJORAMIENTO DE LA </w:t>
            </w:r>
            <w:r>
              <w:rPr>
                <w:rFonts w:ascii="Times New Roman" w:eastAsia="Times New Roman" w:hAnsi="Times New Roman" w:cs="Times New Roman"/>
                <w:b/>
                <w:strike/>
                <w:sz w:val="20"/>
                <w:szCs w:val="20"/>
              </w:rPr>
              <w:t>EDUCACIÓN</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FF0000"/>
                <w:sz w:val="20"/>
                <w:szCs w:val="20"/>
              </w:rPr>
              <w:t xml:space="preserve">CALIDAD EDUCATIVA </w:t>
            </w:r>
            <w:r>
              <w:rPr>
                <w:rFonts w:ascii="Times New Roman" w:eastAsia="Times New Roman" w:hAnsi="Times New Roman" w:cs="Times New Roman"/>
                <w:b/>
                <w:sz w:val="20"/>
                <w:szCs w:val="20"/>
              </w:rPr>
              <w:t>DE BOGOTÁ</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color w:val="FF0000"/>
                <w:sz w:val="20"/>
                <w:szCs w:val="20"/>
              </w:rPr>
            </w:pPr>
            <w:r>
              <w:rPr>
                <w:rFonts w:ascii="Times New Roman" w:eastAsia="Times New Roman" w:hAnsi="Times New Roman" w:cs="Times New Roman"/>
                <w:b/>
                <w:sz w:val="20"/>
                <w:szCs w:val="20"/>
              </w:rPr>
              <w:t xml:space="preserve">ARTÍCULO 6. ESTÍMULOS PARA FORTALECIMIENTO DE LA PRIMERA INFANCIA. </w:t>
            </w:r>
            <w:r>
              <w:rPr>
                <w:rFonts w:ascii="Times New Roman" w:eastAsia="Times New Roman" w:hAnsi="Times New Roman" w:cs="Times New Roman"/>
                <w:sz w:val="20"/>
                <w:szCs w:val="20"/>
              </w:rPr>
              <w:t xml:space="preserve">La Secretaría de Educación del Distrito podrá otorgar incentivos a las </w:t>
            </w:r>
            <w:r>
              <w:rPr>
                <w:rFonts w:ascii="Times New Roman" w:eastAsia="Times New Roman" w:hAnsi="Times New Roman" w:cs="Times New Roman"/>
                <w:color w:val="FF0000"/>
                <w:sz w:val="20"/>
                <w:szCs w:val="20"/>
              </w:rPr>
              <w:t>Instituciones Educativas Distritales (</w:t>
            </w:r>
            <w:r>
              <w:rPr>
                <w:rFonts w:ascii="Times New Roman" w:eastAsia="Times New Roman" w:hAnsi="Times New Roman" w:cs="Times New Roman"/>
                <w:sz w:val="20"/>
                <w:szCs w:val="20"/>
              </w:rPr>
              <w:t>IED</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que desarrollen, implementen o fortalezcan estrategias innovadoras orientadas </w:t>
            </w:r>
            <w:r>
              <w:rPr>
                <w:rFonts w:ascii="Times New Roman" w:eastAsia="Times New Roman" w:hAnsi="Times New Roman" w:cs="Times New Roman"/>
                <w:sz w:val="20"/>
                <w:szCs w:val="20"/>
              </w:rPr>
              <w:lastRenderedPageBreak/>
              <w:t xml:space="preserve">a la atención integral a la primera infancia. Estos estímulos reconocerán el compromiso con el desarrollo de niñas y niños menores de seis (6) años en aspectos pedagógicos, de participación familiar y de generación de entornos protectores que tengan en cuenta su edad, condiciones particulares y contexto sociocultural. </w:t>
            </w:r>
            <w:r>
              <w:rPr>
                <w:rFonts w:ascii="Times New Roman" w:eastAsia="Times New Roman" w:hAnsi="Times New Roman" w:cs="Times New Roman"/>
                <w:color w:val="FF0000"/>
                <w:sz w:val="20"/>
                <w:szCs w:val="20"/>
              </w:rPr>
              <w:t xml:space="preserve">Lo anterior, de conformidad con la Ley 1804 de 2016, el Decreto 1411 de 2022, el Acuerdo 991 de 2025 </w:t>
            </w:r>
            <w:r>
              <w:rPr>
                <w:rFonts w:ascii="Times New Roman" w:eastAsia="Times New Roman" w:hAnsi="Times New Roman" w:cs="Times New Roman"/>
                <w:color w:val="FF0000"/>
                <w:sz w:val="20"/>
                <w:szCs w:val="20"/>
                <w:highlight w:val="white"/>
              </w:rPr>
              <w:t>y las demás normas que los modifiquen o sustituyan.</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Resulta necesario que los incentivos se otorguen a quienes cumplan con los criterios de calidad en la educación inicial que se desarrollan en las normas citadas. En el Distrito, particularmente el Acuerdo 991 de 2025 que derogó el Acuerdo Distrital 138 de 2004, norma que regía en Bogotá la operación de la educación inicial. </w:t>
            </w:r>
          </w:p>
        </w:tc>
      </w:tr>
      <w:tr w:rsidR="00FD1931">
        <w:tc>
          <w:tcPr>
            <w:tcW w:w="2958"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7. ESTÍMULOS AL MEJORAMIENTO CONTINUO. </w:t>
            </w:r>
            <w:r>
              <w:rPr>
                <w:rFonts w:ascii="Times New Roman" w:eastAsia="Times New Roman" w:hAnsi="Times New Roman" w:cs="Times New Roman"/>
                <w:sz w:val="20"/>
                <w:szCs w:val="20"/>
              </w:rPr>
              <w:t xml:space="preserve">La Secretaría podrá otorgar incentivos a las IED que demuestren mejoras significativas, de un año a otro, en indicadores de desempeño académico y administrativo en iniciativas que reconozcan o promuevan las siguientes líneas: </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 Resultados de la prueba de Estado Saber 11; </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(ii) Bilingüismo: avances en el desarrollo de competencias en una segunda lengua; </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(iii) Habilidades socioemocionales, bienestar emocional, cultura de paz y convivencia escolar;</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(iv) Aprobación y permanencia escolar;</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 Articulación curricular y pedagógica con la educación media; </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(vi)Incremento en las tasas de graduación;</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(vii) Tránsito efectivo hacia la educación terciaria;</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(viii) Inclusión y equidad en la educación;</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(ix) Excelencia en la labor docente;</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(x) Metas de calidad en la prestación de servicios en zonas rurales y,</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(xi) Eficiente y trasparente ejecución presupuestal.</w:t>
            </w:r>
          </w:p>
        </w:tc>
        <w:tc>
          <w:tcPr>
            <w:tcW w:w="2951"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ARTÍCULO 7. ESTÍMULOS AL MEJORAMIENTO CONTINUO. </w:t>
            </w:r>
            <w:r>
              <w:rPr>
                <w:rFonts w:ascii="Times New Roman" w:eastAsia="Times New Roman" w:hAnsi="Times New Roman" w:cs="Times New Roman"/>
                <w:sz w:val="20"/>
                <w:szCs w:val="20"/>
              </w:rPr>
              <w:t xml:space="preserve">La Secretaría </w:t>
            </w:r>
            <w:r>
              <w:rPr>
                <w:rFonts w:ascii="Times New Roman" w:eastAsia="Times New Roman" w:hAnsi="Times New Roman" w:cs="Times New Roman"/>
                <w:color w:val="FF0000"/>
                <w:sz w:val="20"/>
                <w:szCs w:val="20"/>
              </w:rPr>
              <w:t xml:space="preserve">de Educación del Distrito </w:t>
            </w:r>
            <w:r>
              <w:rPr>
                <w:rFonts w:ascii="Times New Roman" w:eastAsia="Times New Roman" w:hAnsi="Times New Roman" w:cs="Times New Roman"/>
                <w:sz w:val="20"/>
                <w:szCs w:val="20"/>
              </w:rPr>
              <w:t xml:space="preserve">podrá otorgar incentivos a las </w:t>
            </w:r>
            <w:r>
              <w:rPr>
                <w:rFonts w:ascii="Times New Roman" w:eastAsia="Times New Roman" w:hAnsi="Times New Roman" w:cs="Times New Roman"/>
                <w:color w:val="FF0000"/>
                <w:sz w:val="20"/>
                <w:szCs w:val="20"/>
              </w:rPr>
              <w:t>Instituciones Educativas Distritales (</w:t>
            </w:r>
            <w:r>
              <w:rPr>
                <w:rFonts w:ascii="Times New Roman" w:eastAsia="Times New Roman" w:hAnsi="Times New Roman" w:cs="Times New Roman"/>
                <w:sz w:val="20"/>
                <w:szCs w:val="20"/>
              </w:rPr>
              <w:t>IED</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que demuestren mejoras significativas, de un año a otro, en indicadores de desempeño académico y administrativo en iniciativas que reconozcan o promuevan las siguientes líneas: </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(i) Resultados de la prueba de Estado Saber 11</w:t>
            </w:r>
            <w:r>
              <w:rPr>
                <w:rFonts w:ascii="Times New Roman" w:eastAsia="Times New Roman" w:hAnsi="Times New Roman" w:cs="Times New Roman"/>
                <w:color w:val="FF0000"/>
                <w:sz w:val="20"/>
                <w:szCs w:val="20"/>
              </w:rPr>
              <w:t>, y pruebas que evalúen la básica primaria y básica secundaria</w:t>
            </w:r>
            <w:r>
              <w:rPr>
                <w:rFonts w:ascii="Times New Roman" w:eastAsia="Times New Roman" w:hAnsi="Times New Roman" w:cs="Times New Roman"/>
                <w:sz w:val="20"/>
                <w:szCs w:val="20"/>
              </w:rPr>
              <w:t xml:space="preserve">; </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(ii) Bilingüismo: avances en el desarrollo de competencias en una segunda lengua; </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(iii) Habilidades socioemocionales, bienestar emocional, cultura de paz y convivencia escolar;</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(iv) Aprobación y permanencia escolar;</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 Articulación curricular y pedagógica con la educación media; </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(vi)Incremento en las tasas de graduación;</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(vii) Tránsito efectivo hacia la educación terciaria;</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(viii) Inclusión y equidad en la educación;</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(ix) Excelencia en la labor docente;</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(x) Metas de calidad en la prestación de servicios en zonas rurales y,</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(xi) Eficiente y transparente ejecución presupuestal.</w:t>
            </w:r>
          </w:p>
        </w:tc>
        <w:tc>
          <w:tcPr>
            <w:tcW w:w="3015" w:type="dxa"/>
            <w:shd w:val="clear" w:color="auto" w:fill="auto"/>
            <w:tcMar>
              <w:top w:w="100" w:type="dxa"/>
              <w:left w:w="100" w:type="dxa"/>
              <w:bottom w:w="100" w:type="dxa"/>
              <w:right w:w="100" w:type="dxa"/>
            </w:tcMar>
          </w:tcPr>
          <w:p w:rsidR="00FD1931" w:rsidRDefault="00FD1931">
            <w:pPr>
              <w:widowControl w:val="0"/>
              <w:spacing w:after="0" w:line="240" w:lineRule="auto"/>
              <w:ind w:left="0"/>
              <w:rPr>
                <w:rFonts w:ascii="Times New Roman" w:eastAsia="Times New Roman" w:hAnsi="Times New Roman" w:cs="Times New Roman"/>
                <w:sz w:val="20"/>
                <w:szCs w:val="20"/>
              </w:rPr>
            </w:pPr>
          </w:p>
        </w:tc>
      </w:tr>
      <w:tr w:rsidR="00FD1931">
        <w:tc>
          <w:tcPr>
            <w:tcW w:w="2958"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8. MEJORES PRUEBAS SABER 11. </w:t>
            </w:r>
            <w:r>
              <w:rPr>
                <w:rFonts w:ascii="Times New Roman" w:eastAsia="Times New Roman" w:hAnsi="Times New Roman" w:cs="Times New Roman"/>
                <w:sz w:val="20"/>
                <w:szCs w:val="20"/>
              </w:rPr>
              <w:t>La Secretaría de Educación del Distrito en coordinación con La Agencia Distrital para la Educación Superior, la Ciencia y la Tecnología – Atenea, podrá otorgar becas de educación terciaria en Bogotá, D.C., a estudiantes de colegios oficiales del Distrito que hayan obtenido resultados sobresalientes en la prueba de Estado Saber 11, en instituciones de educación superior públicas o privadas con acreditación de alta calidad.</w:t>
            </w:r>
          </w:p>
        </w:tc>
        <w:tc>
          <w:tcPr>
            <w:tcW w:w="2951" w:type="dxa"/>
            <w:shd w:val="clear" w:color="auto" w:fill="auto"/>
            <w:tcMar>
              <w:top w:w="100" w:type="dxa"/>
              <w:left w:w="100" w:type="dxa"/>
              <w:bottom w:w="100" w:type="dxa"/>
              <w:right w:w="100" w:type="dxa"/>
            </w:tcMar>
          </w:tcPr>
          <w:p w:rsidR="00FD1931" w:rsidRDefault="006879E2">
            <w:pPr>
              <w:widowControl w:val="0"/>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Sin modificación</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FD1931">
        <w:tc>
          <w:tcPr>
            <w:tcW w:w="2958"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ARTÍCULO 9. REGLAMENTACIÓN DE LOS INCENTIVOS.</w:t>
            </w:r>
            <w:r>
              <w:rPr>
                <w:rFonts w:ascii="Times New Roman" w:eastAsia="Times New Roman" w:hAnsi="Times New Roman" w:cs="Times New Roman"/>
                <w:sz w:val="20"/>
                <w:szCs w:val="20"/>
              </w:rPr>
              <w:t xml:space="preserve"> La Secretaría de Educación del Distrito, en el marco de sus competencias, definirá anualmente la reglamentación de estos estímulos por su relevancia estratégica y coyuntural, los criterios para otorgarlos y los mecanismos de selección, conforme a las metas anuales del sector o del Plan de Desarrollo Distrital vigente, lo que permita avanzar en el fortalecimiento de la educación de la ciudad a través de estímulos que motiven el desarrollo de las líneas estratégicas del sistema educativo.</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Estos incentivos se deberán hacer públicos para el reconocimiento a las personas ganadoras.</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 1.</w:t>
            </w:r>
            <w:r>
              <w:rPr>
                <w:rFonts w:ascii="Times New Roman" w:eastAsia="Times New Roman" w:hAnsi="Times New Roman" w:cs="Times New Roman"/>
                <w:sz w:val="20"/>
                <w:szCs w:val="20"/>
              </w:rPr>
              <w:t xml:space="preserve"> Los incentivos podrán ser de naturaleza pecuniaria o no pecuniaria, a estudiantes, cuerpo docente o instituciones educativas, conforme lo determine la Secretaría de Educación anualmente.</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En caso de otorgarse al cuerpo docente, en ningún momento constituirán factor en materia salarial, prestacional o pensional.</w:t>
            </w:r>
          </w:p>
          <w:p w:rsidR="00FD1931" w:rsidRDefault="00FD1931">
            <w:pPr>
              <w:spacing w:after="0" w:line="240" w:lineRule="auto"/>
              <w:ind w:left="0"/>
              <w:rPr>
                <w:rFonts w:ascii="Times New Roman" w:eastAsia="Times New Roman" w:hAnsi="Times New Roman" w:cs="Times New Roman"/>
                <w:b/>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 2.</w:t>
            </w:r>
            <w:r>
              <w:rPr>
                <w:rFonts w:ascii="Times New Roman" w:eastAsia="Times New Roman" w:hAnsi="Times New Roman" w:cs="Times New Roman"/>
                <w:sz w:val="20"/>
                <w:szCs w:val="20"/>
              </w:rPr>
              <w:t xml:space="preserve"> La Secretaría podrá destinar como partida presupuestal para los incentivos un monto mínimo de trescientos (300) SMLMV al año. En todo caso, no podrán emplearse los recursos del Sistema General de Participaciones para el pago de estos y se realizará con recursos propios de Bogotá, D.C. para lo cual Secretaría de Educación Distrital dispondrá lo pertinente.</w:t>
            </w:r>
          </w:p>
        </w:tc>
        <w:tc>
          <w:tcPr>
            <w:tcW w:w="2951"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color w:val="FF0000"/>
                <w:sz w:val="20"/>
                <w:szCs w:val="20"/>
              </w:rPr>
            </w:pPr>
            <w:r>
              <w:rPr>
                <w:rFonts w:ascii="Times New Roman" w:eastAsia="Times New Roman" w:hAnsi="Times New Roman" w:cs="Times New Roman"/>
                <w:b/>
                <w:sz w:val="20"/>
                <w:szCs w:val="20"/>
              </w:rPr>
              <w:lastRenderedPageBreak/>
              <w:t>ARTÍCULO 9. REGLAMENTACIÓN DE LOS INCENTIVOS.</w:t>
            </w:r>
            <w:r>
              <w:rPr>
                <w:rFonts w:ascii="Times New Roman" w:eastAsia="Times New Roman" w:hAnsi="Times New Roman" w:cs="Times New Roman"/>
                <w:sz w:val="20"/>
                <w:szCs w:val="20"/>
              </w:rPr>
              <w:t xml:space="preserve"> La Secretaría de Educación del Distrito, en el marco de sus competencias, definirá anualmente la reglamentación de estos estímulos por su relevancia estratégica y coyuntural, los criterios para otorgarlos y los mecanismos de selección, conforme a las metas anuales del sector o del Plan de Desarrollo Distrital vigente. </w:t>
            </w:r>
            <w:r>
              <w:rPr>
                <w:rFonts w:ascii="Times New Roman" w:eastAsia="Times New Roman" w:hAnsi="Times New Roman" w:cs="Times New Roman"/>
                <w:color w:val="FF0000"/>
                <w:sz w:val="20"/>
                <w:szCs w:val="20"/>
              </w:rPr>
              <w:t xml:space="preserve">Todo ello con el propósito de fortalecer la educación de la ciudad mediante incentivos que promuevan el desarrollo de las líneas estratégicas del sistema educativo. </w:t>
            </w:r>
          </w:p>
          <w:p w:rsidR="00FD1931" w:rsidRDefault="00FD1931">
            <w:pPr>
              <w:spacing w:after="0" w:line="240" w:lineRule="auto"/>
              <w:ind w:left="0"/>
              <w:rPr>
                <w:rFonts w:ascii="Times New Roman" w:eastAsia="Times New Roman" w:hAnsi="Times New Roman" w:cs="Times New Roman"/>
                <w:strike/>
                <w:sz w:val="20"/>
                <w:szCs w:val="20"/>
              </w:rPr>
            </w:pPr>
          </w:p>
          <w:p w:rsidR="00FD1931" w:rsidRDefault="006879E2">
            <w:pPr>
              <w:spacing w:after="0" w:line="240" w:lineRule="auto"/>
              <w:ind w:left="0"/>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La Secretaría de Educación del Distrito deberá dar a conocer públicamente los incentivos otorgados, con el fin de garantizar la transparencia y el reconocimiento de las personas beneficiarias.</w:t>
            </w:r>
          </w:p>
          <w:p w:rsidR="00FD1931" w:rsidRDefault="00FD1931">
            <w:pPr>
              <w:spacing w:after="0" w:line="240" w:lineRule="auto"/>
              <w:ind w:left="0"/>
              <w:rPr>
                <w:rFonts w:ascii="Times New Roman" w:eastAsia="Times New Roman" w:hAnsi="Times New Roman" w:cs="Times New Roman"/>
                <w:strike/>
                <w:sz w:val="20"/>
                <w:szCs w:val="20"/>
              </w:rPr>
            </w:pPr>
          </w:p>
          <w:p w:rsidR="00FD1931" w:rsidRDefault="006879E2">
            <w:pPr>
              <w:spacing w:after="0" w:line="240" w:lineRule="auto"/>
              <w:ind w:left="0"/>
              <w:rPr>
                <w:rFonts w:ascii="Times New Roman" w:eastAsia="Times New Roman" w:hAnsi="Times New Roman" w:cs="Times New Roman"/>
                <w:strike/>
                <w:sz w:val="20"/>
                <w:szCs w:val="20"/>
              </w:rPr>
            </w:pPr>
            <w:r>
              <w:rPr>
                <w:rFonts w:ascii="Times New Roman" w:eastAsia="Times New Roman" w:hAnsi="Times New Roman" w:cs="Times New Roman"/>
                <w:strike/>
                <w:sz w:val="20"/>
                <w:szCs w:val="20"/>
              </w:rPr>
              <w:t xml:space="preserve">Estos incentivos deberán hacerse públicos para el reconocimiento de las personas ganadoras. con el objetivo de avanzar en el </w:t>
            </w:r>
            <w:r>
              <w:rPr>
                <w:rFonts w:ascii="Times New Roman" w:eastAsia="Times New Roman" w:hAnsi="Times New Roman" w:cs="Times New Roman"/>
                <w:strike/>
                <w:sz w:val="20"/>
                <w:szCs w:val="20"/>
              </w:rPr>
              <w:lastRenderedPageBreak/>
              <w:t>fortalecimiento de la educación de la ciudad a través de estímulos que motiven el desarrollo de las líneas estratégicas del sistema educativo.</w:t>
            </w:r>
          </w:p>
          <w:p w:rsidR="00FD1931" w:rsidRDefault="006879E2">
            <w:pPr>
              <w:spacing w:before="240" w:after="24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 1.</w:t>
            </w:r>
            <w:r>
              <w:rPr>
                <w:rFonts w:ascii="Times New Roman" w:eastAsia="Times New Roman" w:hAnsi="Times New Roman" w:cs="Times New Roman"/>
                <w:sz w:val="20"/>
                <w:szCs w:val="20"/>
              </w:rPr>
              <w:t xml:space="preserve"> Los incentivos podrán ser </w:t>
            </w:r>
            <w:r>
              <w:rPr>
                <w:rFonts w:ascii="Times New Roman" w:eastAsia="Times New Roman" w:hAnsi="Times New Roman" w:cs="Times New Roman"/>
                <w:color w:val="FF0000"/>
                <w:sz w:val="20"/>
                <w:szCs w:val="20"/>
              </w:rPr>
              <w:t xml:space="preserve">de carácter </w:t>
            </w:r>
            <w:r>
              <w:rPr>
                <w:rFonts w:ascii="Times New Roman" w:eastAsia="Times New Roman" w:hAnsi="Times New Roman" w:cs="Times New Roman"/>
                <w:strike/>
                <w:sz w:val="20"/>
                <w:szCs w:val="20"/>
              </w:rPr>
              <w:t>naturaleza</w:t>
            </w:r>
            <w:r>
              <w:rPr>
                <w:rFonts w:ascii="Times New Roman" w:eastAsia="Times New Roman" w:hAnsi="Times New Roman" w:cs="Times New Roman"/>
                <w:sz w:val="20"/>
                <w:szCs w:val="20"/>
              </w:rPr>
              <w:t xml:space="preserve"> pecuniari</w:t>
            </w:r>
            <w:r>
              <w:rPr>
                <w:rFonts w:ascii="Times New Roman" w:eastAsia="Times New Roman" w:hAnsi="Times New Roman" w:cs="Times New Roman"/>
                <w:color w:val="FF0000"/>
                <w:sz w:val="20"/>
                <w:szCs w:val="20"/>
              </w:rPr>
              <w:t>o</w:t>
            </w:r>
            <w:r>
              <w:rPr>
                <w:rFonts w:ascii="Times New Roman" w:eastAsia="Times New Roman" w:hAnsi="Times New Roman" w:cs="Times New Roman"/>
                <w:sz w:val="20"/>
                <w:szCs w:val="20"/>
              </w:rPr>
              <w:t xml:space="preserve"> o no pecuniari</w:t>
            </w:r>
            <w:r>
              <w:rPr>
                <w:rFonts w:ascii="Times New Roman" w:eastAsia="Times New Roman" w:hAnsi="Times New Roman" w:cs="Times New Roman"/>
                <w:color w:val="FF0000"/>
                <w:sz w:val="20"/>
                <w:szCs w:val="20"/>
              </w:rPr>
              <w:t>o</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y estarán dirigidos</w:t>
            </w:r>
            <w:r>
              <w:rPr>
                <w:rFonts w:ascii="Times New Roman" w:eastAsia="Times New Roman" w:hAnsi="Times New Roman" w:cs="Times New Roman"/>
                <w:sz w:val="20"/>
                <w:szCs w:val="20"/>
              </w:rPr>
              <w:t xml:space="preserve"> a estudiantes, </w:t>
            </w:r>
            <w:r>
              <w:rPr>
                <w:rFonts w:ascii="Times New Roman" w:eastAsia="Times New Roman" w:hAnsi="Times New Roman" w:cs="Times New Roman"/>
                <w:strike/>
                <w:sz w:val="20"/>
                <w:szCs w:val="20"/>
              </w:rPr>
              <w:t>cuerpo</w:t>
            </w:r>
            <w:r>
              <w:rPr>
                <w:rFonts w:ascii="Times New Roman" w:eastAsia="Times New Roman" w:hAnsi="Times New Roman" w:cs="Times New Roman"/>
                <w:sz w:val="20"/>
                <w:szCs w:val="20"/>
              </w:rPr>
              <w:t xml:space="preserve"> docentes o instituciones educativas, </w:t>
            </w:r>
            <w:r>
              <w:rPr>
                <w:rFonts w:ascii="Times New Roman" w:eastAsia="Times New Roman" w:hAnsi="Times New Roman" w:cs="Times New Roman"/>
                <w:color w:val="FF0000"/>
                <w:sz w:val="20"/>
                <w:szCs w:val="20"/>
              </w:rPr>
              <w:t>de acuerdo con</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conforme</w:t>
            </w:r>
            <w:r>
              <w:rPr>
                <w:rFonts w:ascii="Times New Roman" w:eastAsia="Times New Roman" w:hAnsi="Times New Roman" w:cs="Times New Roman"/>
                <w:sz w:val="20"/>
                <w:szCs w:val="20"/>
              </w:rPr>
              <w:t xml:space="preserve"> lo </w:t>
            </w:r>
            <w:r>
              <w:rPr>
                <w:rFonts w:ascii="Times New Roman" w:eastAsia="Times New Roman" w:hAnsi="Times New Roman" w:cs="Times New Roman"/>
                <w:color w:val="FF0000"/>
                <w:sz w:val="20"/>
                <w:szCs w:val="20"/>
              </w:rPr>
              <w:t>que</w:t>
            </w:r>
            <w:r>
              <w:rPr>
                <w:rFonts w:ascii="Times New Roman" w:eastAsia="Times New Roman" w:hAnsi="Times New Roman" w:cs="Times New Roman"/>
                <w:sz w:val="20"/>
                <w:szCs w:val="20"/>
              </w:rPr>
              <w:t xml:space="preserve"> determine la Secretaría de Educación </w:t>
            </w:r>
            <w:r>
              <w:rPr>
                <w:rFonts w:ascii="Times New Roman" w:eastAsia="Times New Roman" w:hAnsi="Times New Roman" w:cs="Times New Roman"/>
                <w:color w:val="FF0000"/>
                <w:sz w:val="20"/>
                <w:szCs w:val="20"/>
              </w:rPr>
              <w:t xml:space="preserve">del Distrito </w:t>
            </w:r>
            <w:r>
              <w:rPr>
                <w:rFonts w:ascii="Times New Roman" w:eastAsia="Times New Roman" w:hAnsi="Times New Roman" w:cs="Times New Roman"/>
                <w:sz w:val="20"/>
                <w:szCs w:val="20"/>
              </w:rPr>
              <w:t>anualmente.</w:t>
            </w:r>
          </w:p>
          <w:p w:rsidR="00FD1931" w:rsidRDefault="006879E2">
            <w:pPr>
              <w:spacing w:before="240" w:after="240" w:line="240" w:lineRule="auto"/>
              <w:ind w:left="0"/>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Cuando los incentivos se otorguen al personal</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En caso de otorgarse al cuerpo</w:t>
            </w:r>
            <w:r>
              <w:rPr>
                <w:rFonts w:ascii="Times New Roman" w:eastAsia="Times New Roman" w:hAnsi="Times New Roman" w:cs="Times New Roman"/>
                <w:sz w:val="20"/>
                <w:szCs w:val="20"/>
              </w:rPr>
              <w:t xml:space="preserve"> docente, en ningún </w:t>
            </w:r>
            <w:r>
              <w:rPr>
                <w:rFonts w:ascii="Times New Roman" w:eastAsia="Times New Roman" w:hAnsi="Times New Roman" w:cs="Times New Roman"/>
                <w:color w:val="FF0000"/>
                <w:sz w:val="20"/>
                <w:szCs w:val="20"/>
              </w:rPr>
              <w:t>caso</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momento</w:t>
            </w:r>
            <w:r>
              <w:rPr>
                <w:rFonts w:ascii="Times New Roman" w:eastAsia="Times New Roman" w:hAnsi="Times New Roman" w:cs="Times New Roman"/>
                <w:sz w:val="20"/>
                <w:szCs w:val="20"/>
              </w:rPr>
              <w:t xml:space="preserve"> constituirán factor salarial, prestacional o pensional.</w:t>
            </w: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PARÁGRAFO 2.</w:t>
            </w:r>
            <w:r>
              <w:rPr>
                <w:rFonts w:ascii="Times New Roman" w:eastAsia="Times New Roman" w:hAnsi="Times New Roman" w:cs="Times New Roman"/>
                <w:sz w:val="20"/>
                <w:szCs w:val="20"/>
              </w:rPr>
              <w:t xml:space="preserve"> La Secretaría podrá destinar</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como partida presupuestal para los incentivos</w:t>
            </w:r>
            <w:r>
              <w:rPr>
                <w:rFonts w:ascii="Times New Roman" w:eastAsia="Times New Roman" w:hAnsi="Times New Roman" w:cs="Times New Roman"/>
                <w:color w:val="FF0000"/>
                <w:sz w:val="20"/>
                <w:szCs w:val="20"/>
              </w:rPr>
              <w:t>,</w:t>
            </w:r>
            <w:r>
              <w:rPr>
                <w:rFonts w:ascii="Times New Roman" w:eastAsia="Times New Roman" w:hAnsi="Times New Roman" w:cs="Times New Roman"/>
                <w:sz w:val="20"/>
                <w:szCs w:val="20"/>
              </w:rPr>
              <w:t xml:space="preserve"> un monto mínimo de trescientos (300) </w:t>
            </w:r>
            <w:r>
              <w:rPr>
                <w:rFonts w:ascii="Times New Roman" w:eastAsia="Times New Roman" w:hAnsi="Times New Roman" w:cs="Times New Roman"/>
                <w:color w:val="FF0000"/>
                <w:sz w:val="20"/>
                <w:szCs w:val="20"/>
              </w:rPr>
              <w:t>salarios mínimos legales mensuales vigentes</w:t>
            </w:r>
            <w:r>
              <w:rPr>
                <w:rFonts w:ascii="Times New Roman" w:eastAsia="Times New Roman" w:hAnsi="Times New Roman" w:cs="Times New Roman"/>
                <w:sz w:val="20"/>
                <w:szCs w:val="20"/>
              </w:rPr>
              <w:t xml:space="preserve"> (SMLMV) </w:t>
            </w:r>
            <w:r>
              <w:rPr>
                <w:rFonts w:ascii="Times New Roman" w:eastAsia="Times New Roman" w:hAnsi="Times New Roman" w:cs="Times New Roman"/>
                <w:color w:val="FF0000"/>
                <w:sz w:val="20"/>
                <w:szCs w:val="20"/>
              </w:rPr>
              <w:t>anuales</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al año</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En ningún caso</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En todo caso,</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no</w:t>
            </w:r>
            <w:r>
              <w:rPr>
                <w:rFonts w:ascii="Times New Roman" w:eastAsia="Times New Roman" w:hAnsi="Times New Roman" w:cs="Times New Roman"/>
                <w:sz w:val="20"/>
                <w:szCs w:val="20"/>
              </w:rPr>
              <w:t xml:space="preserve"> podrán emplearse </w:t>
            </w:r>
            <w:r>
              <w:rPr>
                <w:rFonts w:ascii="Times New Roman" w:eastAsia="Times New Roman" w:hAnsi="Times New Roman" w:cs="Times New Roman"/>
                <w:color w:val="FF0000"/>
                <w:sz w:val="20"/>
                <w:szCs w:val="20"/>
              </w:rPr>
              <w:t>los</w:t>
            </w:r>
            <w:r>
              <w:rPr>
                <w:rFonts w:ascii="Times New Roman" w:eastAsia="Times New Roman" w:hAnsi="Times New Roman" w:cs="Times New Roman"/>
                <w:sz w:val="20"/>
                <w:szCs w:val="20"/>
              </w:rPr>
              <w:t xml:space="preserve"> recursos del Sistema General de Participaciones para </w:t>
            </w:r>
            <w:r>
              <w:rPr>
                <w:rFonts w:ascii="Times New Roman" w:eastAsia="Times New Roman" w:hAnsi="Times New Roman" w:cs="Times New Roman"/>
                <w:color w:val="FF0000"/>
                <w:sz w:val="20"/>
                <w:szCs w:val="20"/>
              </w:rPr>
              <w:t xml:space="preserve">el pago de estos </w:t>
            </w:r>
            <w:r>
              <w:rPr>
                <w:rFonts w:ascii="Times New Roman" w:eastAsia="Times New Roman" w:hAnsi="Times New Roman" w:cs="Times New Roman"/>
                <w:strike/>
                <w:sz w:val="20"/>
                <w:szCs w:val="20"/>
              </w:rPr>
              <w:t>su funcionamiento</w:t>
            </w:r>
            <w:r>
              <w:rPr>
                <w:rFonts w:ascii="Times New Roman" w:eastAsia="Times New Roman" w:hAnsi="Times New Roman" w:cs="Times New Roman"/>
                <w:sz w:val="20"/>
                <w:szCs w:val="20"/>
              </w:rPr>
              <w:t xml:space="preserve"> y se realizará exclusivamente con recursos propios de Bogotá, D.C. </w:t>
            </w:r>
            <w:r>
              <w:rPr>
                <w:rFonts w:ascii="Times New Roman" w:eastAsia="Times New Roman" w:hAnsi="Times New Roman" w:cs="Times New Roman"/>
                <w:color w:val="FF0000"/>
                <w:sz w:val="20"/>
                <w:szCs w:val="20"/>
              </w:rPr>
              <w:t>para lo cual la</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conforme a lo que disponga</w:t>
            </w:r>
            <w:r>
              <w:rPr>
                <w:rFonts w:ascii="Times New Roman" w:eastAsia="Times New Roman" w:hAnsi="Times New Roman" w:cs="Times New Roman"/>
                <w:sz w:val="20"/>
                <w:szCs w:val="20"/>
              </w:rPr>
              <w:t xml:space="preserve"> Secretaría de Educación del Distrito dispondrá lo pertinente.</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Modificación de redacción del articulado. </w:t>
            </w:r>
          </w:p>
        </w:tc>
      </w:tr>
      <w:tr w:rsidR="00FD1931">
        <w:tc>
          <w:tcPr>
            <w:tcW w:w="2958"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CAPÍTULO 3.</w:t>
            </w:r>
          </w:p>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OTRAS DISPOSICIONES</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10. DÍA DE LAS Y LOS EDUCADORES. </w:t>
            </w:r>
            <w:r>
              <w:rPr>
                <w:rFonts w:ascii="Times New Roman" w:eastAsia="Times New Roman" w:hAnsi="Times New Roman" w:cs="Times New Roman"/>
                <w:sz w:val="20"/>
                <w:szCs w:val="20"/>
              </w:rPr>
              <w:t>El 15 de mayo de cada año se celebrará el Día de las y los Educadores. Con este motivo la Secretaría de Educación, en coordinación con las instituciones educativas distritales, promoverá la realización de actividades culturales, recreativas y sociales, con la participación de la comunidad educativa.</w:t>
            </w:r>
          </w:p>
        </w:tc>
        <w:tc>
          <w:tcPr>
            <w:tcW w:w="2951" w:type="dxa"/>
            <w:shd w:val="clear" w:color="auto" w:fill="auto"/>
            <w:tcMar>
              <w:top w:w="100" w:type="dxa"/>
              <w:left w:w="100" w:type="dxa"/>
              <w:bottom w:w="100" w:type="dxa"/>
              <w:right w:w="100" w:type="dxa"/>
            </w:tcMar>
          </w:tcPr>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CAPÍTULO 3.</w:t>
            </w:r>
          </w:p>
          <w:p w:rsidR="00FD1931" w:rsidRDefault="006879E2">
            <w:pPr>
              <w:shd w:val="clear" w:color="auto" w:fill="FFFFFF"/>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OTRAS DISPOSICIONES</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10. DÍA DE LAS Y LOS EDUCADORES. </w:t>
            </w:r>
            <w:r>
              <w:rPr>
                <w:rFonts w:ascii="Times New Roman" w:eastAsia="Times New Roman" w:hAnsi="Times New Roman" w:cs="Times New Roman"/>
                <w:sz w:val="20"/>
                <w:szCs w:val="20"/>
              </w:rPr>
              <w:t xml:space="preserve">El 15 de mayo de cada año se celebrará el Día de las y los Educadores. Con este motivo la Secretaría de Educación, en coordinación con las </w:t>
            </w:r>
            <w:r>
              <w:rPr>
                <w:rFonts w:ascii="Times New Roman" w:eastAsia="Times New Roman" w:hAnsi="Times New Roman" w:cs="Times New Roman"/>
                <w:color w:val="FF0000"/>
                <w:sz w:val="20"/>
                <w:szCs w:val="20"/>
              </w:rPr>
              <w:t>I</w:t>
            </w:r>
            <w:r>
              <w:rPr>
                <w:rFonts w:ascii="Times New Roman" w:eastAsia="Times New Roman" w:hAnsi="Times New Roman" w:cs="Times New Roman"/>
                <w:sz w:val="20"/>
                <w:szCs w:val="20"/>
              </w:rPr>
              <w:t xml:space="preserve">nstituciones </w:t>
            </w:r>
            <w:r>
              <w:rPr>
                <w:rFonts w:ascii="Times New Roman" w:eastAsia="Times New Roman" w:hAnsi="Times New Roman" w:cs="Times New Roman"/>
                <w:color w:val="FF0000"/>
                <w:sz w:val="20"/>
                <w:szCs w:val="20"/>
              </w:rPr>
              <w:t>E</w:t>
            </w:r>
            <w:r>
              <w:rPr>
                <w:rFonts w:ascii="Times New Roman" w:eastAsia="Times New Roman" w:hAnsi="Times New Roman" w:cs="Times New Roman"/>
                <w:sz w:val="20"/>
                <w:szCs w:val="20"/>
              </w:rPr>
              <w:t xml:space="preserve">ducativas </w:t>
            </w:r>
            <w:r>
              <w:rPr>
                <w:rFonts w:ascii="Times New Roman" w:eastAsia="Times New Roman" w:hAnsi="Times New Roman" w:cs="Times New Roman"/>
                <w:color w:val="FF0000"/>
                <w:sz w:val="20"/>
                <w:szCs w:val="20"/>
              </w:rPr>
              <w:t>D</w:t>
            </w:r>
            <w:r>
              <w:rPr>
                <w:rFonts w:ascii="Times New Roman" w:eastAsia="Times New Roman" w:hAnsi="Times New Roman" w:cs="Times New Roman"/>
                <w:sz w:val="20"/>
                <w:szCs w:val="20"/>
              </w:rPr>
              <w:t xml:space="preserve">istritales </w:t>
            </w:r>
            <w:r>
              <w:rPr>
                <w:rFonts w:ascii="Times New Roman" w:eastAsia="Times New Roman" w:hAnsi="Times New Roman" w:cs="Times New Roman"/>
                <w:color w:val="FF0000"/>
                <w:sz w:val="20"/>
                <w:szCs w:val="20"/>
              </w:rPr>
              <w:t>(IED)</w:t>
            </w:r>
            <w:r>
              <w:rPr>
                <w:rFonts w:ascii="Times New Roman" w:eastAsia="Times New Roman" w:hAnsi="Times New Roman" w:cs="Times New Roman"/>
                <w:sz w:val="20"/>
                <w:szCs w:val="20"/>
              </w:rPr>
              <w:t>, promoverá la realización de actividades culturales, recreativas y sociales, con la participación de la comunidad educativa.</w:t>
            </w:r>
          </w:p>
        </w:tc>
        <w:tc>
          <w:tcPr>
            <w:tcW w:w="3015" w:type="dxa"/>
            <w:shd w:val="clear" w:color="auto" w:fill="auto"/>
            <w:tcMar>
              <w:top w:w="100" w:type="dxa"/>
              <w:left w:w="100" w:type="dxa"/>
              <w:bottom w:w="100" w:type="dxa"/>
              <w:right w:w="100" w:type="dxa"/>
            </w:tcMar>
          </w:tcPr>
          <w:p w:rsidR="00FD1931" w:rsidRDefault="00FD1931">
            <w:pPr>
              <w:widowControl w:val="0"/>
              <w:spacing w:after="0" w:line="240" w:lineRule="auto"/>
              <w:ind w:left="0"/>
              <w:rPr>
                <w:rFonts w:ascii="Times New Roman" w:eastAsia="Times New Roman" w:hAnsi="Times New Roman" w:cs="Times New Roman"/>
                <w:sz w:val="20"/>
                <w:szCs w:val="20"/>
              </w:rPr>
            </w:pPr>
          </w:p>
        </w:tc>
      </w:tr>
      <w:tr w:rsidR="00FD1931">
        <w:tc>
          <w:tcPr>
            <w:tcW w:w="2958" w:type="dxa"/>
            <w:shd w:val="clear" w:color="auto" w:fill="auto"/>
            <w:tcMar>
              <w:top w:w="100" w:type="dxa"/>
              <w:left w:w="100" w:type="dxa"/>
              <w:bottom w:w="100" w:type="dxa"/>
              <w:right w:w="100" w:type="dxa"/>
            </w:tcMar>
          </w:tcPr>
          <w:p w:rsidR="00FD1931" w:rsidRDefault="006879E2">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ARTÍCULO 11. VIGENCIA. </w:t>
            </w:r>
            <w:r>
              <w:rPr>
                <w:rFonts w:ascii="Times New Roman" w:eastAsia="Times New Roman" w:hAnsi="Times New Roman" w:cs="Times New Roman"/>
                <w:sz w:val="20"/>
                <w:szCs w:val="20"/>
              </w:rPr>
              <w:t>El presente acuerdo rige a partir de la fecha de su publicación y deroga expresamente el Acuerdo Distrital 273 de 2007, las demás normas que lo modifiquen o reglamenten, y las disposiciones que le sean contrarias.</w:t>
            </w:r>
          </w:p>
          <w:p w:rsidR="00FD1931" w:rsidRDefault="00FD1931">
            <w:pPr>
              <w:spacing w:after="0" w:line="240" w:lineRule="auto"/>
              <w:ind w:left="0"/>
              <w:rPr>
                <w:rFonts w:ascii="Times New Roman" w:eastAsia="Times New Roman" w:hAnsi="Times New Roman" w:cs="Times New Roman"/>
                <w:sz w:val="20"/>
                <w:szCs w:val="20"/>
              </w:rPr>
            </w:pPr>
          </w:p>
          <w:p w:rsidR="00FD1931" w:rsidRDefault="006879E2">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PUBLÍQUESE Y CÚMPLASE</w:t>
            </w:r>
          </w:p>
        </w:tc>
        <w:tc>
          <w:tcPr>
            <w:tcW w:w="2951"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Sin modificaciones.</w:t>
            </w:r>
          </w:p>
        </w:tc>
        <w:tc>
          <w:tcPr>
            <w:tcW w:w="3015" w:type="dxa"/>
            <w:shd w:val="clear" w:color="auto" w:fill="auto"/>
            <w:tcMar>
              <w:top w:w="100" w:type="dxa"/>
              <w:left w:w="100" w:type="dxa"/>
              <w:bottom w:w="100" w:type="dxa"/>
              <w:right w:w="100" w:type="dxa"/>
            </w:tcMar>
          </w:tcPr>
          <w:p w:rsidR="00FD1931" w:rsidRDefault="006879E2">
            <w:pPr>
              <w:widowControl w:val="0"/>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bl>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9. CONCLUSIONES</w:t>
      </w:r>
    </w:p>
    <w:p w:rsidR="00FD1931" w:rsidRDefault="00FD1931">
      <w:pPr>
        <w:spacing w:after="0" w:line="240" w:lineRule="auto"/>
        <w:ind w:left="0"/>
        <w:rPr>
          <w:rFonts w:ascii="Times New Roman" w:eastAsia="Times New Roman" w:hAnsi="Times New Roman" w:cs="Times New Roman"/>
          <w:b/>
          <w:sz w:val="24"/>
          <w:szCs w:val="24"/>
        </w:rPr>
      </w:pPr>
    </w:p>
    <w:p w:rsidR="00FD1931" w:rsidRDefault="006879E2">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En virtud de lo expuesto anteriormente, nos permitimos rendir </w:t>
      </w:r>
      <w:r>
        <w:rPr>
          <w:rFonts w:ascii="Times New Roman" w:eastAsia="Times New Roman" w:hAnsi="Times New Roman" w:cs="Times New Roman"/>
          <w:b/>
          <w:sz w:val="24"/>
          <w:szCs w:val="24"/>
        </w:rPr>
        <w:t xml:space="preserve">PONENCIA POSITIVA CONJUNTA CON MODIFICACIONES </w:t>
      </w:r>
      <w:r>
        <w:rPr>
          <w:rFonts w:ascii="Times New Roman" w:eastAsia="Times New Roman" w:hAnsi="Times New Roman" w:cs="Times New Roman"/>
          <w:sz w:val="24"/>
          <w:szCs w:val="24"/>
        </w:rPr>
        <w:t xml:space="preserve">al </w:t>
      </w:r>
      <w:r>
        <w:rPr>
          <w:rFonts w:ascii="Times New Roman" w:eastAsia="Times New Roman" w:hAnsi="Times New Roman" w:cs="Times New Roman"/>
          <w:b/>
          <w:sz w:val="24"/>
          <w:szCs w:val="24"/>
        </w:rPr>
        <w:t xml:space="preserve">Proyecto de Acuerdo </w:t>
      </w:r>
      <w:r w:rsidR="00B032D3">
        <w:rPr>
          <w:rFonts w:ascii="Times New Roman" w:eastAsia="Times New Roman" w:hAnsi="Times New Roman" w:cs="Times New Roman"/>
          <w:b/>
          <w:sz w:val="24"/>
          <w:szCs w:val="24"/>
        </w:rPr>
        <w:t>851</w:t>
      </w:r>
      <w:r>
        <w:rPr>
          <w:rFonts w:ascii="Times New Roman" w:eastAsia="Times New Roman" w:hAnsi="Times New Roman" w:cs="Times New Roman"/>
          <w:b/>
          <w:sz w:val="24"/>
          <w:szCs w:val="24"/>
        </w:rPr>
        <w:t xml:space="preserve"> del 2025 </w:t>
      </w:r>
      <w:r>
        <w:rPr>
          <w:rFonts w:ascii="Times New Roman" w:eastAsia="Times New Roman" w:hAnsi="Times New Roman" w:cs="Times New Roman"/>
          <w:i/>
          <w:sz w:val="24"/>
          <w:szCs w:val="24"/>
        </w:rPr>
        <w:t xml:space="preserve">“POR MEDIO DEL CUAL SE FOMENTA EL MEJORAMIENTO DE LA EDUCACIÓN DE BOGOTÁ Y SE DICTAN OTRAS DISPOSICIONES”. </w:t>
      </w: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Cordialmente</w:t>
      </w:r>
    </w:p>
    <w:p w:rsidR="00FD1931" w:rsidRDefault="00FD1931">
      <w:pPr>
        <w:spacing w:after="0" w:line="240" w:lineRule="auto"/>
        <w:ind w:left="0"/>
        <w:rPr>
          <w:rFonts w:ascii="Times New Roman" w:eastAsia="Times New Roman" w:hAnsi="Times New Roman" w:cs="Times New Roman"/>
          <w:b/>
          <w:sz w:val="24"/>
          <w:szCs w:val="24"/>
        </w:rPr>
      </w:pPr>
    </w:p>
    <w:p w:rsidR="00FD1931" w:rsidRDefault="00FD1931">
      <w:pPr>
        <w:spacing w:after="0" w:line="240" w:lineRule="auto"/>
        <w:ind w:left="720"/>
        <w:rPr>
          <w:rFonts w:ascii="Times New Roman" w:eastAsia="Times New Roman" w:hAnsi="Times New Roman" w:cs="Times New Roman"/>
          <w:b/>
          <w:sz w:val="24"/>
          <w:szCs w:val="24"/>
        </w:rPr>
      </w:pPr>
    </w:p>
    <w:p w:rsidR="00FD1931" w:rsidRDefault="00FD1931">
      <w:pPr>
        <w:spacing w:after="0" w:line="240" w:lineRule="auto"/>
        <w:ind w:left="0"/>
        <w:rPr>
          <w:rFonts w:ascii="Times New Roman" w:eastAsia="Times New Roman" w:hAnsi="Times New Roman" w:cs="Times New Roman"/>
          <w:b/>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b/>
        </w:rPr>
      </w:pPr>
      <w:r>
        <w:rPr>
          <w:rFonts w:ascii="Times New Roman" w:eastAsia="Times New Roman" w:hAnsi="Times New Roman" w:cs="Times New Roman"/>
          <w:b/>
        </w:rPr>
        <w:t xml:space="preserve">ARMANDO GUTIÉRREZ GONZÁLEZ           JUAN MANUEL DÍAZ MARTÍNEZ   </w:t>
      </w:r>
    </w:p>
    <w:p w:rsidR="00FD1931" w:rsidRDefault="006879E2">
      <w:pPr>
        <w:spacing w:after="0" w:line="240" w:lineRule="auto"/>
        <w:ind w:left="0"/>
        <w:rPr>
          <w:rFonts w:ascii="Times New Roman" w:eastAsia="Times New Roman" w:hAnsi="Times New Roman" w:cs="Times New Roman"/>
        </w:rPr>
      </w:pPr>
      <w:r>
        <w:rPr>
          <w:rFonts w:ascii="Times New Roman" w:eastAsia="Times New Roman" w:hAnsi="Times New Roman" w:cs="Times New Roman"/>
        </w:rPr>
        <w:t xml:space="preserve">Concejal de Bogotá, D.C.                                        Concejal de Bogotá, D.C.    </w:t>
      </w:r>
    </w:p>
    <w:p w:rsidR="00FD1931" w:rsidRDefault="006879E2">
      <w:pPr>
        <w:spacing w:after="0" w:line="240" w:lineRule="auto"/>
        <w:ind w:left="0"/>
        <w:rPr>
          <w:rFonts w:ascii="Times New Roman" w:eastAsia="Times New Roman" w:hAnsi="Times New Roman" w:cs="Times New Roman"/>
        </w:rPr>
      </w:pPr>
      <w:r>
        <w:rPr>
          <w:rFonts w:ascii="Times New Roman" w:eastAsia="Times New Roman" w:hAnsi="Times New Roman" w:cs="Times New Roman"/>
        </w:rPr>
        <w:t>Partido Liberal Colombiano                                    Partido Nuevo Liberalismo</w:t>
      </w:r>
    </w:p>
    <w:p w:rsidR="00FD1931" w:rsidRDefault="006879E2">
      <w:pPr>
        <w:spacing w:after="0" w:line="240" w:lineRule="auto"/>
        <w:ind w:left="0"/>
        <w:rPr>
          <w:rFonts w:ascii="Times New Roman" w:eastAsia="Times New Roman" w:hAnsi="Times New Roman" w:cs="Times New Roman"/>
          <w:b/>
        </w:rPr>
      </w:pPr>
      <w:r>
        <w:rPr>
          <w:rFonts w:ascii="Times New Roman" w:eastAsia="Times New Roman" w:hAnsi="Times New Roman" w:cs="Times New Roman"/>
        </w:rPr>
        <w:t xml:space="preserve">Coordinador Ponente.                                              Ponente. </w:t>
      </w: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spacing w:after="0" w:line="240" w:lineRule="auto"/>
        <w:ind w:left="0"/>
        <w:rPr>
          <w:rFonts w:ascii="Times New Roman" w:eastAsia="Times New Roman" w:hAnsi="Times New Roman" w:cs="Times New Roman"/>
          <w:sz w:val="24"/>
          <w:szCs w:val="24"/>
        </w:rPr>
      </w:pPr>
    </w:p>
    <w:p w:rsidR="00FD1931" w:rsidRDefault="00FD1931">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BB1F5F" w:rsidRDefault="00BB1F5F">
      <w:pPr>
        <w:pBdr>
          <w:top w:val="nil"/>
          <w:left w:val="nil"/>
          <w:bottom w:val="nil"/>
          <w:right w:val="nil"/>
          <w:between w:val="nil"/>
        </w:pBdr>
        <w:spacing w:after="0" w:line="240" w:lineRule="auto"/>
        <w:ind w:left="0"/>
        <w:rPr>
          <w:rFonts w:ascii="Times New Roman" w:eastAsia="Times New Roman" w:hAnsi="Times New Roman" w:cs="Times New Roman"/>
          <w:b/>
          <w:sz w:val="20"/>
          <w:szCs w:val="20"/>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10. ARTICULADO FINAL</w:t>
      </w:r>
    </w:p>
    <w:p w:rsidR="00FD1931" w:rsidRDefault="00FD1931">
      <w:pPr>
        <w:spacing w:after="0" w:line="240" w:lineRule="auto"/>
        <w:ind w:left="360"/>
        <w:rPr>
          <w:rFonts w:ascii="Times New Roman" w:eastAsia="Times New Roman" w:hAnsi="Times New Roman" w:cs="Times New Roman"/>
          <w:b/>
          <w:sz w:val="20"/>
          <w:szCs w:val="20"/>
        </w:rPr>
      </w:pPr>
    </w:p>
    <w:p w:rsidR="00FD1931" w:rsidRDefault="00FD1931">
      <w:pPr>
        <w:spacing w:after="0" w:line="240" w:lineRule="auto"/>
        <w:ind w:left="360"/>
        <w:rPr>
          <w:rFonts w:ascii="Times New Roman" w:eastAsia="Times New Roman" w:hAnsi="Times New Roman" w:cs="Times New Roman"/>
          <w:b/>
          <w:sz w:val="24"/>
          <w:szCs w:val="24"/>
        </w:rPr>
      </w:pPr>
    </w:p>
    <w:p w:rsidR="00FD1931" w:rsidRDefault="006879E2">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PROYECTO DE ACUERDO N° </w:t>
      </w:r>
      <w:r w:rsidR="00B032D3">
        <w:rPr>
          <w:rFonts w:ascii="Times New Roman" w:eastAsia="Times New Roman" w:hAnsi="Times New Roman" w:cs="Times New Roman"/>
          <w:b/>
          <w:sz w:val="24"/>
          <w:szCs w:val="24"/>
        </w:rPr>
        <w:t>851</w:t>
      </w:r>
      <w:r>
        <w:rPr>
          <w:rFonts w:ascii="Times New Roman" w:eastAsia="Times New Roman" w:hAnsi="Times New Roman" w:cs="Times New Roman"/>
          <w:b/>
          <w:sz w:val="24"/>
          <w:szCs w:val="24"/>
        </w:rPr>
        <w:t xml:space="preserve"> DE 2025</w:t>
      </w:r>
    </w:p>
    <w:p w:rsidR="00FD1931" w:rsidRDefault="00FD1931">
      <w:pPr>
        <w:spacing w:after="0" w:line="240" w:lineRule="auto"/>
        <w:ind w:left="0"/>
        <w:jc w:val="left"/>
        <w:rPr>
          <w:rFonts w:ascii="Times New Roman" w:eastAsia="Times New Roman" w:hAnsi="Times New Roman" w:cs="Times New Roman"/>
          <w:b/>
          <w:sz w:val="24"/>
          <w:szCs w:val="24"/>
        </w:rPr>
      </w:pPr>
    </w:p>
    <w:p w:rsidR="00FD1931" w:rsidRDefault="006879E2">
      <w:pPr>
        <w:widowControl w:val="0"/>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“POR MEDIO DEL CUAL SE FOMENTA EL MEJORAMIENTO DE LA EDUCACIÓN DE BOGOTÁ, </w:t>
      </w:r>
      <w:r>
        <w:rPr>
          <w:rFonts w:ascii="Times New Roman" w:eastAsia="Times New Roman" w:hAnsi="Times New Roman" w:cs="Times New Roman"/>
          <w:b/>
          <w:sz w:val="24"/>
          <w:szCs w:val="24"/>
          <w:highlight w:val="white"/>
        </w:rPr>
        <w:t>SE DEROGA EL ACUERDO 273 DE 2007, Y SE DICTAN OTRAS DISPOSICIONES</w:t>
      </w:r>
      <w:r>
        <w:rPr>
          <w:rFonts w:ascii="Times New Roman" w:eastAsia="Times New Roman" w:hAnsi="Times New Roman" w:cs="Times New Roman"/>
          <w:b/>
          <w:sz w:val="24"/>
          <w:szCs w:val="24"/>
        </w:rPr>
        <w:t>”</w:t>
      </w:r>
    </w:p>
    <w:p w:rsidR="00FD1931" w:rsidRDefault="00FD1931">
      <w:pPr>
        <w:spacing w:after="0" w:line="240" w:lineRule="auto"/>
        <w:ind w:left="0"/>
        <w:jc w:val="center"/>
        <w:rPr>
          <w:rFonts w:ascii="Times New Roman" w:eastAsia="Times New Roman" w:hAnsi="Times New Roman" w:cs="Times New Roman"/>
          <w:b/>
          <w:sz w:val="24"/>
          <w:szCs w:val="24"/>
        </w:rPr>
      </w:pPr>
    </w:p>
    <w:p w:rsidR="00FD1931" w:rsidRDefault="00FD1931">
      <w:pPr>
        <w:spacing w:after="0" w:line="240" w:lineRule="auto"/>
        <w:ind w:left="0"/>
        <w:jc w:val="left"/>
        <w:rPr>
          <w:rFonts w:ascii="Times New Roman" w:eastAsia="Times New Roman" w:hAnsi="Times New Roman" w:cs="Times New Roman"/>
          <w:b/>
          <w:sz w:val="24"/>
          <w:szCs w:val="24"/>
        </w:rPr>
      </w:pPr>
    </w:p>
    <w:p w:rsidR="00FD1931" w:rsidRDefault="006879E2">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EL CONCEJO DE BOGOTÁ D.C.</w:t>
      </w:r>
    </w:p>
    <w:p w:rsidR="00FD1931" w:rsidRDefault="00FD1931">
      <w:pPr>
        <w:spacing w:after="0" w:line="240" w:lineRule="auto"/>
        <w:ind w:left="0"/>
        <w:jc w:val="center"/>
        <w:rPr>
          <w:rFonts w:ascii="Times New Roman" w:eastAsia="Times New Roman" w:hAnsi="Times New Roman" w:cs="Times New Roman"/>
          <w:b/>
          <w:sz w:val="24"/>
          <w:szCs w:val="24"/>
        </w:rPr>
      </w:pPr>
    </w:p>
    <w:p w:rsidR="00FD1931" w:rsidRDefault="006879E2">
      <w:pPr>
        <w:spacing w:after="0" w:line="240" w:lineRule="auto"/>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En uso de sus atribuciones constitucionales y legales, en especial las que le confieren el numeral 1 del artículo 313 de la Constitución Política y el numeral 1 y 25 del artículo 12 del Decreto Ley 1421 de 1993.</w:t>
      </w:r>
    </w:p>
    <w:p w:rsidR="00FD1931" w:rsidRDefault="00FD1931">
      <w:pPr>
        <w:spacing w:after="0" w:line="240" w:lineRule="auto"/>
        <w:ind w:left="0"/>
        <w:jc w:val="left"/>
        <w:rPr>
          <w:rFonts w:ascii="Times New Roman" w:eastAsia="Times New Roman" w:hAnsi="Times New Roman" w:cs="Times New Roman"/>
          <w:sz w:val="24"/>
          <w:szCs w:val="24"/>
        </w:rPr>
      </w:pPr>
    </w:p>
    <w:p w:rsidR="00FD1931" w:rsidRDefault="006879E2">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ACUERDA</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1. OBJETO. </w:t>
      </w:r>
      <w:r>
        <w:rPr>
          <w:rFonts w:ascii="Times New Roman" w:eastAsia="Times New Roman" w:hAnsi="Times New Roman" w:cs="Times New Roman"/>
          <w:sz w:val="24"/>
          <w:szCs w:val="24"/>
        </w:rPr>
        <w:t>El presente Acuerdo tiene por objeto derogar el Acuerdo 273 de 2007 y establecer lineamientos para que la Secretaría de Educación del Distrito cree incentivos dirigidos a la comunidad educativa para promover y fomentar el mejoramiento de la calidad educativa, al igual que fortalecer la permanencia escolar en las aulas.</w:t>
      </w:r>
    </w:p>
    <w:p w:rsidR="00FD1931" w:rsidRDefault="00FD1931">
      <w:pPr>
        <w:widowControl w:val="0"/>
        <w:spacing w:after="0" w:line="240" w:lineRule="auto"/>
        <w:ind w:left="0"/>
        <w:rPr>
          <w:rFonts w:ascii="Times New Roman" w:eastAsia="Times New Roman" w:hAnsi="Times New Roman" w:cs="Times New Roman"/>
          <w:b/>
          <w:sz w:val="24"/>
          <w:szCs w:val="24"/>
        </w:rPr>
      </w:pPr>
    </w:p>
    <w:p w:rsidR="00FD1931" w:rsidRDefault="006879E2">
      <w:pPr>
        <w:shd w:val="clear" w:color="auto" w:fill="FFFFFF"/>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CAPÍTULO 1. </w:t>
      </w:r>
    </w:p>
    <w:p w:rsidR="00FD1931" w:rsidRDefault="006879E2">
      <w:pPr>
        <w:shd w:val="clear" w:color="auto" w:fill="FFFFFF"/>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ESTRATEGIAS DE PERMANENCIA ESCOLAR</w:t>
      </w:r>
    </w:p>
    <w:p w:rsidR="00FD1931" w:rsidRDefault="00FD1931">
      <w:pPr>
        <w:shd w:val="clear" w:color="auto" w:fill="FFFFFF"/>
        <w:spacing w:after="0" w:line="240" w:lineRule="auto"/>
        <w:ind w:left="0"/>
        <w:rPr>
          <w:rFonts w:ascii="Times New Roman" w:eastAsia="Times New Roman" w:hAnsi="Times New Roman" w:cs="Times New Roman"/>
          <w:b/>
          <w:sz w:val="24"/>
          <w:szCs w:val="24"/>
        </w:rPr>
      </w:pPr>
    </w:p>
    <w:p w:rsidR="00FD1931" w:rsidRDefault="006879E2">
      <w:pPr>
        <w:shd w:val="clear" w:color="auto" w:fill="FFFFFF"/>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2. GRATUIDAD. </w:t>
      </w:r>
      <w:r>
        <w:rPr>
          <w:rFonts w:ascii="Times New Roman" w:eastAsia="Times New Roman" w:hAnsi="Times New Roman" w:cs="Times New Roman"/>
          <w:sz w:val="24"/>
          <w:szCs w:val="24"/>
        </w:rPr>
        <w:t>La Secretaría de Educación del Distrito garantizará la gratuidad para todas y todos los estudiantes de las instituciones educativas oficiales de Bogotá, desde primera infancia hasta educación media o educación por ciclos. Las Instituciones Educativas Distritales (IED) no podrán realizar cobros por derechos académicos o servicios complementarios.</w:t>
      </w:r>
    </w:p>
    <w:p w:rsidR="00FD1931" w:rsidRDefault="00FD1931">
      <w:pPr>
        <w:shd w:val="clear" w:color="auto" w:fill="FFFFFF"/>
        <w:spacing w:after="0" w:line="240" w:lineRule="auto"/>
        <w:ind w:left="0"/>
        <w:rPr>
          <w:rFonts w:ascii="Times New Roman" w:eastAsia="Times New Roman" w:hAnsi="Times New Roman" w:cs="Times New Roman"/>
          <w:sz w:val="24"/>
          <w:szCs w:val="24"/>
        </w:rPr>
      </w:pPr>
    </w:p>
    <w:p w:rsidR="00FD1931" w:rsidRDefault="006879E2">
      <w:pPr>
        <w:shd w:val="clear" w:color="auto" w:fill="FFFFFF"/>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white"/>
        </w:rPr>
        <w:t>PARÁGRAFO:</w:t>
      </w:r>
      <w:r>
        <w:rPr>
          <w:rFonts w:ascii="Times New Roman" w:eastAsia="Times New Roman" w:hAnsi="Times New Roman" w:cs="Times New Roman"/>
          <w:sz w:val="24"/>
          <w:szCs w:val="24"/>
          <w:highlight w:val="white"/>
        </w:rPr>
        <w:t xml:space="preserve"> La Secretaría de Educación del Distrito priorizará a estudiantes que se encuentren en situación de vulnerabilidad manifiesta.</w:t>
      </w:r>
    </w:p>
    <w:p w:rsidR="00FD1931" w:rsidRDefault="00FD1931">
      <w:pPr>
        <w:widowControl w:val="0"/>
        <w:spacing w:after="0" w:line="240" w:lineRule="auto"/>
        <w:ind w:left="0"/>
        <w:rPr>
          <w:rFonts w:ascii="Times New Roman" w:eastAsia="Times New Roman" w:hAnsi="Times New Roman" w:cs="Times New Roman"/>
          <w:b/>
          <w:sz w:val="24"/>
          <w:szCs w:val="24"/>
        </w:rPr>
      </w:pPr>
    </w:p>
    <w:p w:rsidR="00FD1931" w:rsidRDefault="006879E2">
      <w:pPr>
        <w:shd w:val="clear" w:color="auto" w:fill="FFFFFF"/>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ARTÍCULO 3. TRANSPORTE ESCOLAR.</w:t>
      </w:r>
      <w:r>
        <w:rPr>
          <w:rFonts w:ascii="Times New Roman" w:eastAsia="Times New Roman" w:hAnsi="Times New Roman" w:cs="Times New Roman"/>
          <w:sz w:val="24"/>
          <w:szCs w:val="24"/>
        </w:rPr>
        <w:t> Cuando no sea posible ofrecer el servicio educativo cerca de la residencia del estudiante, la Secretaría de Educación del Distrito garantizará su acceso a la educación mediante el suministro de apoyos de transporte escolar. Para tal fin, podrá implementar distintas modalidades, tales como rutas contratadas directamente; subsidios de transporte; transporte por medios alternativos (caminata, bicicleta, tricimoviles, patinetas, vehículos eléctricos/híbridos y en general medios no contaminantes); mediante convenios con operadores de transporte público masivo u otras formas que se definan en el marco de la política pública de acceso y permanencia.</w:t>
      </w:r>
    </w:p>
    <w:p w:rsidR="00FD1931" w:rsidRDefault="00FD1931">
      <w:pPr>
        <w:shd w:val="clear" w:color="auto" w:fill="FFFFFF"/>
        <w:spacing w:after="0" w:line="240" w:lineRule="auto"/>
        <w:ind w:left="0"/>
        <w:rPr>
          <w:rFonts w:ascii="Times New Roman" w:eastAsia="Times New Roman" w:hAnsi="Times New Roman" w:cs="Times New Roman"/>
          <w:sz w:val="24"/>
          <w:szCs w:val="24"/>
        </w:rPr>
      </w:pPr>
    </w:p>
    <w:p w:rsidR="00FD1931" w:rsidRDefault="006879E2">
      <w:pPr>
        <w:shd w:val="clear" w:color="auto" w:fill="FFFFFF"/>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Los apoyos de transporte estarán condicionados a la verificación de la asistencia regular de los estudiantes beneficiarios.</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widowControl w:val="0"/>
        <w:spacing w:after="0" w:line="240" w:lineRule="auto"/>
        <w:ind w:left="0"/>
        <w:rPr>
          <w:rFonts w:ascii="Times New Roman" w:eastAsia="Times New Roman" w:hAnsi="Times New Roman" w:cs="Times New Roman"/>
          <w:strike/>
          <w:sz w:val="24"/>
          <w:szCs w:val="24"/>
        </w:rPr>
      </w:pPr>
      <w:r>
        <w:rPr>
          <w:rFonts w:ascii="Times New Roman" w:eastAsia="Times New Roman" w:hAnsi="Times New Roman" w:cs="Times New Roman"/>
          <w:b/>
          <w:sz w:val="24"/>
          <w:szCs w:val="24"/>
        </w:rPr>
        <w:t>ARTÍCULO 4. ALIMENTACIÓN ESCOLAR.</w:t>
      </w:r>
      <w:r>
        <w:rPr>
          <w:rFonts w:ascii="Times New Roman" w:eastAsia="Times New Roman" w:hAnsi="Times New Roman" w:cs="Times New Roman"/>
          <w:sz w:val="24"/>
          <w:szCs w:val="24"/>
        </w:rPr>
        <w:t xml:space="preserve"> La Secretaría de Educación del Distrito podrá suministrar el Programa de Alimentación Escolar (PAE) a estudiantes en las Instituciones Educativas Distritales (IED) por períodos iguales o superiores al calendario académico, de acuerdo con los principios de planeación presupuestal y los criterios de sostenibilidad fiscal contenidos en el ordenamiento jurídico colombiano.</w:t>
      </w:r>
    </w:p>
    <w:p w:rsidR="00FD1931" w:rsidRDefault="00FD1931">
      <w:pPr>
        <w:widowControl w:val="0"/>
        <w:spacing w:after="0" w:line="240" w:lineRule="auto"/>
        <w:ind w:left="0"/>
        <w:rPr>
          <w:rFonts w:ascii="Times New Roman" w:eastAsia="Times New Roman" w:hAnsi="Times New Roman" w:cs="Times New Roman"/>
          <w:strike/>
          <w:sz w:val="24"/>
          <w:szCs w:val="24"/>
        </w:rPr>
      </w:pPr>
    </w:p>
    <w:p w:rsidR="00FD1931" w:rsidRDefault="006879E2">
      <w:pPr>
        <w:widowControl w:val="0"/>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PARÁGRAFO. </w:t>
      </w:r>
      <w:r>
        <w:rPr>
          <w:rFonts w:ascii="Times New Roman" w:eastAsia="Times New Roman" w:hAnsi="Times New Roman" w:cs="Times New Roman"/>
          <w:sz w:val="24"/>
          <w:szCs w:val="24"/>
        </w:rPr>
        <w:t>La Secretaría de Educación del Distrito podrá disponer, con recursos del presupuesto distrital, la entrega de refrigerios a estudiantes durante la aplicación de las pruebas Saber 11 en instituciones educativas de Bogotá.</w:t>
      </w:r>
    </w:p>
    <w:p w:rsidR="00FD1931" w:rsidRDefault="00FD1931">
      <w:pPr>
        <w:widowControl w:val="0"/>
        <w:spacing w:after="0" w:line="240" w:lineRule="auto"/>
        <w:ind w:left="0"/>
        <w:rPr>
          <w:rFonts w:ascii="Times New Roman" w:eastAsia="Times New Roman" w:hAnsi="Times New Roman" w:cs="Times New Roman"/>
          <w:sz w:val="24"/>
          <w:szCs w:val="24"/>
        </w:rPr>
      </w:pPr>
    </w:p>
    <w:p w:rsidR="00FD1931" w:rsidRDefault="006879E2">
      <w:pPr>
        <w:widowControl w:val="0"/>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ARTÍCULO 5. ORIENTACIÓN SOCIO OCUPACIONAL.</w:t>
      </w:r>
      <w:r>
        <w:rPr>
          <w:rFonts w:ascii="Times New Roman" w:eastAsia="Times New Roman" w:hAnsi="Times New Roman" w:cs="Times New Roman"/>
          <w:sz w:val="24"/>
          <w:szCs w:val="24"/>
        </w:rPr>
        <w:t xml:space="preserve"> La Secretaría de Educación del Distrito promoverá acciones de orientación socio ocupacional a estudiantes de básica secundaria y educación media, incluyendo talleres de habilidades para la vida en los que acompañará a jóvenes en la búsqueda y definición de metas en sus proyectos de vida.</w:t>
      </w:r>
    </w:p>
    <w:p w:rsidR="00FD1931" w:rsidRDefault="00FD1931">
      <w:pPr>
        <w:widowControl w:val="0"/>
        <w:spacing w:after="0" w:line="240" w:lineRule="auto"/>
        <w:ind w:left="0"/>
        <w:rPr>
          <w:rFonts w:ascii="Times New Roman" w:eastAsia="Times New Roman" w:hAnsi="Times New Roman" w:cs="Times New Roman"/>
          <w:sz w:val="24"/>
          <w:szCs w:val="24"/>
        </w:rPr>
      </w:pPr>
    </w:p>
    <w:p w:rsidR="00FD1931" w:rsidRDefault="006879E2">
      <w:pPr>
        <w:shd w:val="clear" w:color="auto" w:fill="FFFFFF"/>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CAPÍTULO 2.</w:t>
      </w:r>
    </w:p>
    <w:p w:rsidR="00FD1931" w:rsidRDefault="006879E2">
      <w:pPr>
        <w:shd w:val="clear" w:color="auto" w:fill="FFFFFF"/>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INCENTIVOS PARA EL MEJORAMIENTO DE LA CALIDAD EDUCATIVA DE BOGOTÁ</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ARTÍCULO 6. ESTÍMULOS PARA FORTALECIMIENTO DE LA PRIMERA INFANCIA. </w:t>
      </w:r>
      <w:r>
        <w:rPr>
          <w:rFonts w:ascii="Times New Roman" w:eastAsia="Times New Roman" w:hAnsi="Times New Roman" w:cs="Times New Roman"/>
          <w:sz w:val="24"/>
          <w:szCs w:val="24"/>
        </w:rPr>
        <w:t xml:space="preserve">La Secretaría de Educación del Distrito podrá otorgar incentivos a las Instituciones Educativas Distritales (IED) que desarrollen, implementen o fortalezcan estrategias innovadoras orientadas a la atención integral a la primera infancia. Estos estímulos reconocerán el compromiso con el desarrollo de niñas y niños menores de seis (6) años en aspectos pedagógicos, de participación familiar y de generación de entornos protectores que tengan en cuenta su edad, condiciones particulares y contexto sociocultural. Lo anterior, de conformidad con la Ley 1804 de 2016, el Decreto 1411 de 2022, el Acuerdo 991 de 2025 </w:t>
      </w:r>
      <w:r>
        <w:rPr>
          <w:rFonts w:ascii="Times New Roman" w:eastAsia="Times New Roman" w:hAnsi="Times New Roman" w:cs="Times New Roman"/>
          <w:sz w:val="24"/>
          <w:szCs w:val="24"/>
          <w:highlight w:val="white"/>
        </w:rPr>
        <w:t>y las demás normas que los modifiquen o sustituyan.</w:t>
      </w:r>
    </w:p>
    <w:p w:rsidR="00FD1931" w:rsidRDefault="00FD1931">
      <w:pPr>
        <w:spacing w:after="0" w:line="240" w:lineRule="auto"/>
        <w:ind w:left="720"/>
        <w:rPr>
          <w:rFonts w:ascii="Times New Roman" w:eastAsia="Times New Roman" w:hAnsi="Times New Roman" w:cs="Times New Roman"/>
          <w:b/>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7. ESTÍMULOS AL MEJORAMIENTO CONTINUO. </w:t>
      </w:r>
      <w:r>
        <w:rPr>
          <w:rFonts w:ascii="Times New Roman" w:eastAsia="Times New Roman" w:hAnsi="Times New Roman" w:cs="Times New Roman"/>
          <w:sz w:val="24"/>
          <w:szCs w:val="24"/>
        </w:rPr>
        <w:t xml:space="preserve">La Secretaría de Educación del Distrito podrá otorgar incentivos a las Instituciones Educativas Distritales (IED) que demuestren mejoras significativas, de un año a otro, en indicadores de desempeño académico y administrativo en iniciativas que reconozcan o promuevan las siguientes líneas: </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Resultados de la prueba de Estado Saber 11, y pruebas que evalúen la básica primaria y básica secundaria; </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Bilingüismo: avances en el desarrollo de competencias en una segunda lengua; </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(iii) Habilidades socioemocionales, bienestar emocional, cultura de paz y convivencia escolar;</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(iv) Aprobación y permanencia escolar;</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Articulación curricular y pedagógica con la educación media; </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(vi)Incremento en las tasas de graduación;</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(vii) Tránsito efectivo hacia la educación terciaria;</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(viii) Inclusión y equidad en la educación;</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(ix) Excelencia en la labor docente;</w:t>
      </w:r>
    </w:p>
    <w:p w:rsidR="00FD1931" w:rsidRDefault="006879E2">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(x) Metas de calidad en la prestación de servicios en zonas rurales y,</w:t>
      </w:r>
    </w:p>
    <w:p w:rsidR="00FD1931" w:rsidRDefault="006879E2">
      <w:pPr>
        <w:spacing w:after="0" w:line="240" w:lineRule="auto"/>
        <w:ind w:left="720"/>
        <w:rPr>
          <w:rFonts w:ascii="Times New Roman" w:eastAsia="Times New Roman" w:hAnsi="Times New Roman" w:cs="Times New Roman"/>
          <w:b/>
          <w:sz w:val="24"/>
          <w:szCs w:val="24"/>
        </w:rPr>
      </w:pPr>
      <w:r>
        <w:rPr>
          <w:rFonts w:ascii="Times New Roman" w:eastAsia="Times New Roman" w:hAnsi="Times New Roman" w:cs="Times New Roman"/>
          <w:sz w:val="24"/>
          <w:szCs w:val="24"/>
        </w:rPr>
        <w:t>(xi) Eficiente y transparente ejecución presupuestal.</w:t>
      </w:r>
    </w:p>
    <w:p w:rsidR="00FD1931" w:rsidRDefault="00FD1931">
      <w:pPr>
        <w:spacing w:after="0" w:line="240" w:lineRule="auto"/>
        <w:ind w:left="360"/>
        <w:rPr>
          <w:rFonts w:ascii="Times New Roman" w:eastAsia="Times New Roman" w:hAnsi="Times New Roman" w:cs="Times New Roman"/>
          <w:b/>
          <w:sz w:val="24"/>
          <w:szCs w:val="24"/>
        </w:rPr>
      </w:pP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ARTÍCULO 8. MEJORES PRUEBAS SABER 11. </w:t>
      </w:r>
      <w:r>
        <w:rPr>
          <w:rFonts w:ascii="Times New Roman" w:eastAsia="Times New Roman" w:hAnsi="Times New Roman" w:cs="Times New Roman"/>
          <w:sz w:val="24"/>
          <w:szCs w:val="24"/>
        </w:rPr>
        <w:t>La Secretaría de Educación del Distrito en coordinación con La Agencia Distrital para la Educación Superior, la Ciencia y la Tecnología – Atenea, podrá otorgar becas de educación terciaria en Bogotá, D.C., a estudiantes de colegios oficiales del Distrito que hayan obtenido resultados sobresalientes en la prueba de Estado Saber 11, en instituciones de educación superior públicas o privadas con acreditación de alta calidad.</w:t>
      </w:r>
    </w:p>
    <w:p w:rsidR="00FD1931" w:rsidRDefault="00FD1931">
      <w:pPr>
        <w:spacing w:after="0" w:line="240" w:lineRule="auto"/>
        <w:ind w:left="360"/>
        <w:rPr>
          <w:rFonts w:ascii="Times New Roman" w:eastAsia="Times New Roman" w:hAnsi="Times New Roman" w:cs="Times New Roman"/>
          <w:b/>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ARTÍCULO 9. REGLAMENTACIÓN DE LOS INCENTIVOS.</w:t>
      </w:r>
      <w:r>
        <w:rPr>
          <w:rFonts w:ascii="Times New Roman" w:eastAsia="Times New Roman" w:hAnsi="Times New Roman" w:cs="Times New Roman"/>
          <w:sz w:val="24"/>
          <w:szCs w:val="24"/>
        </w:rPr>
        <w:t xml:space="preserve"> La Secretaría de Educación del Distrito, en el marco de sus competencias, definirá anualmente la reglamentación de estos estímulos por su relevancia estratégica y coyuntural, los criterios para otorgarlos y los mecanismos de selección, conforme a las metas anuales del sector o del Plan de Desarrollo Distrital vigente. Todo ello con el propósito de fortalecer la educación de la ciudad mediante incentivos que promuevan el desarrollo de las líneas estratégicas del sistema educativo. Estos incentivos deberán hacerse públicos para el reconocimiento de las personas ganadoras. </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4"/>
          <w:szCs w:val="24"/>
        </w:rPr>
        <w:t>La Secretaría de Educación del Distrito deberá dar a conocer públicamente los incentivos otorgados, con el fin de garantizar la transparencia y el reconocimiento de las personas beneficiarias.</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PARÁGRAFO 1.</w:t>
      </w:r>
      <w:r>
        <w:rPr>
          <w:rFonts w:ascii="Times New Roman" w:eastAsia="Times New Roman" w:hAnsi="Times New Roman" w:cs="Times New Roman"/>
          <w:sz w:val="24"/>
          <w:szCs w:val="24"/>
        </w:rPr>
        <w:t xml:space="preserve"> Los incentivos podrán ser de carácter pecuniario o no pecuniario y estarán dirigidos a estudiantes, docentes o instituciones educativas, de acuerdo con lo que determine la Secretaría de Educación del Distrito anualmente.</w:t>
      </w:r>
    </w:p>
    <w:p w:rsidR="00FD1931" w:rsidRDefault="006879E2">
      <w:pPr>
        <w:spacing w:before="240" w:after="24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Cuando los incentivos se otorguen al personal docente, en ningún caso constituirán factor salarial, prestacional o pensional.</w:t>
      </w:r>
    </w:p>
    <w:p w:rsidR="00FD1931" w:rsidRDefault="006879E2">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PARÁGRAFO 2.</w:t>
      </w:r>
      <w:r>
        <w:rPr>
          <w:rFonts w:ascii="Times New Roman" w:eastAsia="Times New Roman" w:hAnsi="Times New Roman" w:cs="Times New Roman"/>
          <w:sz w:val="24"/>
          <w:szCs w:val="24"/>
        </w:rPr>
        <w:t xml:space="preserve"> La Secretaría podrá destinar, como partida presupuestal para los incentivos, un monto mínimo de trescientos (300) salarios mínimos legales mensuales vigentes (SMLMV) anuales. En todo caso, no podrán emplearse los recursos del Sistema General de Participaciones para el pago de estos y se realizará exclusivamente con recursos propios de Bogotá, D.C. para lo cual la Secretaría de Educación del Distrito dispondrá lo pertinente.</w:t>
      </w:r>
    </w:p>
    <w:p w:rsidR="00FD1931" w:rsidRDefault="00FD1931">
      <w:pPr>
        <w:spacing w:after="0" w:line="240" w:lineRule="auto"/>
        <w:ind w:left="360"/>
        <w:rPr>
          <w:rFonts w:ascii="Times New Roman" w:eastAsia="Times New Roman" w:hAnsi="Times New Roman" w:cs="Times New Roman"/>
          <w:b/>
          <w:sz w:val="24"/>
          <w:szCs w:val="24"/>
        </w:rPr>
      </w:pPr>
    </w:p>
    <w:p w:rsidR="00FD1931" w:rsidRDefault="006879E2">
      <w:pPr>
        <w:shd w:val="clear" w:color="auto" w:fill="FFFFFF"/>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CAPÍTULO 3.</w:t>
      </w:r>
    </w:p>
    <w:p w:rsidR="00FD1931" w:rsidRDefault="006879E2">
      <w:pPr>
        <w:shd w:val="clear" w:color="auto" w:fill="FFFFFF"/>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OTRAS DISPOSICIONES</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10. DÍA DE LAS Y LOS EDUCADORES. </w:t>
      </w:r>
      <w:r>
        <w:rPr>
          <w:rFonts w:ascii="Times New Roman" w:eastAsia="Times New Roman" w:hAnsi="Times New Roman" w:cs="Times New Roman"/>
          <w:sz w:val="24"/>
          <w:szCs w:val="24"/>
        </w:rPr>
        <w:t xml:space="preserve">El 15 de mayo de cada año se celebrará el Día de las y los Educadores. Con este motivo la Secretaría de Educación, en </w:t>
      </w:r>
      <w:r>
        <w:rPr>
          <w:rFonts w:ascii="Times New Roman" w:eastAsia="Times New Roman" w:hAnsi="Times New Roman" w:cs="Times New Roman"/>
          <w:sz w:val="24"/>
          <w:szCs w:val="24"/>
        </w:rPr>
        <w:lastRenderedPageBreak/>
        <w:t>coordinación con las Instituciones Educativas Distritales (IED), promoverá la realización de actividades culturales, recreativas y sociales, con la participación de la comunidad educativa.</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11. VIGENCIA. </w:t>
      </w:r>
      <w:r>
        <w:rPr>
          <w:rFonts w:ascii="Times New Roman" w:eastAsia="Times New Roman" w:hAnsi="Times New Roman" w:cs="Times New Roman"/>
          <w:sz w:val="24"/>
          <w:szCs w:val="24"/>
        </w:rPr>
        <w:t>El presente acuerdo rige a partir de la fecha de su publicación y deroga expresamente el Acuerdo Distrital 273 de 2007, las demás normas que lo modifiquen o reglamenten, y las disposiciones que le sean contrarias.</w:t>
      </w:r>
    </w:p>
    <w:p w:rsidR="00FD1931" w:rsidRDefault="00FD1931">
      <w:pPr>
        <w:spacing w:after="0" w:line="240" w:lineRule="auto"/>
        <w:ind w:left="0"/>
        <w:rPr>
          <w:rFonts w:ascii="Times New Roman" w:eastAsia="Times New Roman" w:hAnsi="Times New Roman" w:cs="Times New Roman"/>
          <w:sz w:val="24"/>
          <w:szCs w:val="24"/>
        </w:rPr>
      </w:pPr>
    </w:p>
    <w:p w:rsidR="00FD1931" w:rsidRDefault="006879E2">
      <w:pPr>
        <w:spacing w:after="0" w:line="240" w:lineRule="auto"/>
        <w:ind w:left="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PUBLÍQUESE Y CÚMPLASE</w:t>
      </w:r>
    </w:p>
    <w:p w:rsidR="00FD1931" w:rsidRDefault="00FD1931">
      <w:pPr>
        <w:spacing w:after="0" w:line="240" w:lineRule="auto"/>
        <w:ind w:left="360"/>
        <w:rPr>
          <w:rFonts w:ascii="Times New Roman" w:eastAsia="Times New Roman" w:hAnsi="Times New Roman" w:cs="Times New Roman"/>
          <w:b/>
          <w:sz w:val="24"/>
          <w:szCs w:val="24"/>
        </w:rPr>
      </w:pPr>
    </w:p>
    <w:p w:rsidR="00FD1931" w:rsidRDefault="00FD1931">
      <w:pPr>
        <w:spacing w:after="0" w:line="240" w:lineRule="auto"/>
        <w:ind w:left="360"/>
        <w:rPr>
          <w:rFonts w:ascii="Times New Roman" w:eastAsia="Times New Roman" w:hAnsi="Times New Roman" w:cs="Times New Roman"/>
          <w:b/>
          <w:sz w:val="24"/>
          <w:szCs w:val="24"/>
        </w:rPr>
      </w:pPr>
    </w:p>
    <w:p w:rsidR="00FD1931" w:rsidRDefault="00FD1931">
      <w:pPr>
        <w:spacing w:after="0" w:line="240" w:lineRule="auto"/>
        <w:ind w:firstLine="357"/>
        <w:rPr>
          <w:rFonts w:ascii="Times New Roman" w:eastAsia="Times New Roman" w:hAnsi="Times New Roman" w:cs="Times New Roman"/>
          <w:sz w:val="24"/>
          <w:szCs w:val="24"/>
        </w:rPr>
      </w:pPr>
    </w:p>
    <w:sectPr w:rsidR="00FD1931">
      <w:headerReference w:type="default" r:id="rId19"/>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283" w:rsidRDefault="00F47283">
      <w:pPr>
        <w:spacing w:after="0" w:line="240" w:lineRule="auto"/>
      </w:pPr>
      <w:r>
        <w:separator/>
      </w:r>
    </w:p>
  </w:endnote>
  <w:endnote w:type="continuationSeparator" w:id="0">
    <w:p w:rsidR="00F47283" w:rsidRDefault="00F47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283" w:rsidRDefault="00F47283">
      <w:pPr>
        <w:spacing w:after="0" w:line="240" w:lineRule="auto"/>
      </w:pPr>
      <w:r>
        <w:separator/>
      </w:r>
    </w:p>
  </w:footnote>
  <w:footnote w:type="continuationSeparator" w:id="0">
    <w:p w:rsidR="00F47283" w:rsidRDefault="00F47283">
      <w:pPr>
        <w:spacing w:after="0" w:line="240" w:lineRule="auto"/>
      </w:pPr>
      <w:r>
        <w:continuationSeparator/>
      </w:r>
    </w:p>
  </w:footnote>
  <w:footnote w:id="1">
    <w:p w:rsidR="00FD1931" w:rsidRDefault="006879E2">
      <w:pPr>
        <w:spacing w:after="0" w:line="240" w:lineRule="auto"/>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Secretaría de Educación del Distrito. (2024). </w:t>
      </w:r>
      <w:r>
        <w:rPr>
          <w:rFonts w:ascii="Times New Roman" w:eastAsia="Times New Roman" w:hAnsi="Times New Roman" w:cs="Times New Roman"/>
          <w:i/>
          <w:sz w:val="20"/>
          <w:szCs w:val="20"/>
        </w:rPr>
        <w:t>Informe de Ciudad SMECE Sistema Multidimensional de Evaluación para la Calidad Educativa. Informe de Resultados de Evaluación 2023 2023</w:t>
      </w:r>
      <w:r>
        <w:rPr>
          <w:rFonts w:ascii="Times New Roman" w:eastAsia="Times New Roman" w:hAnsi="Times New Roman" w:cs="Times New Roman"/>
          <w:sz w:val="20"/>
          <w:szCs w:val="20"/>
        </w:rPr>
        <w:t xml:space="preserve">. </w:t>
      </w:r>
      <w:hyperlink r:id="rId1">
        <w:r>
          <w:rPr>
            <w:rFonts w:ascii="Times New Roman" w:eastAsia="Times New Roman" w:hAnsi="Times New Roman" w:cs="Times New Roman"/>
            <w:color w:val="1155CC"/>
            <w:sz w:val="20"/>
            <w:szCs w:val="20"/>
            <w:u w:val="single"/>
          </w:rPr>
          <w:t>https://smece.educacionbogota.edu.co/sites/default/files/2024-01/Informe%20de%20Ciudad%20SMECE%202023.pdf</w:t>
        </w:r>
      </w:hyperlink>
    </w:p>
  </w:footnote>
  <w:footnote w:id="2">
    <w:p w:rsidR="00FD1931" w:rsidRDefault="006879E2">
      <w:pPr>
        <w:spacing w:after="0" w:line="240" w:lineRule="auto"/>
        <w:rPr>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 xml:space="preserve"> Secretaría de Educación del Distrito. (2024). </w:t>
      </w:r>
      <w:r>
        <w:rPr>
          <w:rFonts w:ascii="Times New Roman" w:eastAsia="Times New Roman" w:hAnsi="Times New Roman" w:cs="Times New Roman"/>
          <w:i/>
          <w:sz w:val="20"/>
          <w:szCs w:val="20"/>
        </w:rPr>
        <w:t>Informe de Ciudad SMECE Sistema Multidimensional de Evaluación para la Calidad Educativa. Informe de Resultados de Evaluación 2023 2023</w:t>
      </w:r>
      <w:r>
        <w:rPr>
          <w:rFonts w:ascii="Times New Roman" w:eastAsia="Times New Roman" w:hAnsi="Times New Roman" w:cs="Times New Roman"/>
          <w:sz w:val="20"/>
          <w:szCs w:val="20"/>
        </w:rPr>
        <w:t xml:space="preserve">. </w:t>
      </w:r>
      <w:hyperlink r:id="rId2">
        <w:r>
          <w:rPr>
            <w:rFonts w:ascii="Times New Roman" w:eastAsia="Times New Roman" w:hAnsi="Times New Roman" w:cs="Times New Roman"/>
            <w:color w:val="1155CC"/>
            <w:sz w:val="20"/>
            <w:szCs w:val="20"/>
            <w:u w:val="single"/>
          </w:rPr>
          <w:t>https://smece.educacionbogota.edu.co/sites/default/files/2024-01/Informe%20de%20Ciudad%20SMECE%202023.pdf</w:t>
        </w:r>
      </w:hyperlink>
    </w:p>
  </w:footnote>
  <w:footnote w:id="3">
    <w:p w:rsidR="00FD1931" w:rsidRDefault="006879E2">
      <w:pPr>
        <w:spacing w:after="0" w:line="240" w:lineRule="auto"/>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Pérez, J. (2023, 10 de diciembre). </w:t>
      </w:r>
      <w:r>
        <w:rPr>
          <w:rFonts w:ascii="Times New Roman" w:eastAsia="Times New Roman" w:hAnsi="Times New Roman" w:cs="Times New Roman"/>
          <w:i/>
          <w:sz w:val="20"/>
          <w:szCs w:val="20"/>
        </w:rPr>
        <w:t>La deficiencia educativa retrasa a Colombia</w:t>
      </w:r>
      <w:r>
        <w:rPr>
          <w:rFonts w:ascii="Times New Roman" w:eastAsia="Times New Roman" w:hAnsi="Times New Roman" w:cs="Times New Roman"/>
          <w:sz w:val="20"/>
          <w:szCs w:val="20"/>
        </w:rPr>
        <w:t>. Razón Pública.</w:t>
      </w:r>
      <w:hyperlink r:id="rId3">
        <w:r>
          <w:rPr>
            <w:rFonts w:ascii="Times New Roman" w:eastAsia="Times New Roman" w:hAnsi="Times New Roman" w:cs="Times New Roman"/>
            <w:sz w:val="20"/>
            <w:szCs w:val="20"/>
          </w:rPr>
          <w:t xml:space="preserve"> </w:t>
        </w:r>
      </w:hyperlink>
      <w:hyperlink r:id="rId4">
        <w:r>
          <w:rPr>
            <w:rFonts w:ascii="Times New Roman" w:eastAsia="Times New Roman" w:hAnsi="Times New Roman" w:cs="Times New Roman"/>
            <w:color w:val="1155CC"/>
            <w:sz w:val="20"/>
            <w:szCs w:val="20"/>
            <w:u w:val="single"/>
          </w:rPr>
          <w:t>https://razonpublica.com/la-deficiencia-educativa-retrasa-colombia/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931" w:rsidRDefault="00FD1931">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bl>
    <w:tblPr>
      <w:tblStyle w:val="ab"/>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4"/>
      <w:gridCol w:w="2233"/>
    </w:tblGrid>
    <w:tr w:rsidR="00FD1931">
      <w:trPr>
        <w:trHeight w:val="454"/>
      </w:trPr>
      <w:tc>
        <w:tcPr>
          <w:tcW w:w="2361" w:type="dxa"/>
          <w:vMerge w:val="restart"/>
        </w:tcPr>
        <w:p w:rsidR="00FD1931" w:rsidRDefault="006879E2">
          <w:pPr>
            <w:ind w:firstLine="357"/>
            <w:jc w:val="center"/>
            <w:rPr>
              <w:sz w:val="16"/>
              <w:szCs w:val="16"/>
            </w:rPr>
          </w:pPr>
          <w:r>
            <w:rPr>
              <w:noProof/>
            </w:rPr>
            <w:drawing>
              <wp:anchor distT="0" distB="0" distL="0" distR="0" simplePos="0" relativeHeight="251658240" behindDoc="0" locked="0" layoutInCell="1" hidden="0" allowOverlap="1">
                <wp:simplePos x="0" y="0"/>
                <wp:positionH relativeFrom="column">
                  <wp:posOffset>362585</wp:posOffset>
                </wp:positionH>
                <wp:positionV relativeFrom="paragraph">
                  <wp:posOffset>48895</wp:posOffset>
                </wp:positionV>
                <wp:extent cx="704850" cy="800100"/>
                <wp:effectExtent l="0" t="0" r="0" b="0"/>
                <wp:wrapSquare wrapText="bothSides" distT="0" distB="0" distL="0" distR="0"/>
                <wp:docPr id="1538972527" name="image12.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2.png" descr="Logotipo&#10;&#10;Descripción generada automáticamente"/>
                        <pic:cNvPicPr preferRelativeResize="0"/>
                      </pic:nvPicPr>
                      <pic:blipFill>
                        <a:blip r:embed="rId1"/>
                        <a:srcRect/>
                        <a:stretch>
                          <a:fillRect/>
                        </a:stretch>
                      </pic:blipFill>
                      <pic:spPr>
                        <a:xfrm>
                          <a:off x="0" y="0"/>
                          <a:ext cx="704850" cy="800100"/>
                        </a:xfrm>
                        <a:prstGeom prst="rect">
                          <a:avLst/>
                        </a:prstGeom>
                        <a:ln/>
                      </pic:spPr>
                    </pic:pic>
                  </a:graphicData>
                </a:graphic>
              </wp:anchor>
            </w:drawing>
          </w:r>
        </w:p>
        <w:p w:rsidR="00FD1931" w:rsidRDefault="00FD1931">
          <w:pPr>
            <w:ind w:firstLine="357"/>
            <w:jc w:val="center"/>
            <w:rPr>
              <w:sz w:val="16"/>
              <w:szCs w:val="16"/>
            </w:rPr>
          </w:pPr>
        </w:p>
        <w:p w:rsidR="00FD1931" w:rsidRDefault="00FD1931">
          <w:pPr>
            <w:ind w:firstLine="357"/>
            <w:jc w:val="center"/>
            <w:rPr>
              <w:sz w:val="16"/>
              <w:szCs w:val="16"/>
            </w:rPr>
          </w:pPr>
        </w:p>
        <w:p w:rsidR="00FD1931" w:rsidRDefault="00FD1931">
          <w:pPr>
            <w:ind w:firstLine="357"/>
            <w:jc w:val="center"/>
            <w:rPr>
              <w:sz w:val="16"/>
              <w:szCs w:val="16"/>
            </w:rPr>
          </w:pPr>
        </w:p>
      </w:tc>
      <w:tc>
        <w:tcPr>
          <w:tcW w:w="4234" w:type="dxa"/>
        </w:tcPr>
        <w:p w:rsidR="00FD1931" w:rsidRDefault="006879E2">
          <w:pPr>
            <w:ind w:firstLine="357"/>
            <w:jc w:val="center"/>
            <w:rPr>
              <w:rFonts w:ascii="Arial" w:eastAsia="Arial" w:hAnsi="Arial" w:cs="Arial"/>
              <w:sz w:val="18"/>
              <w:szCs w:val="18"/>
            </w:rPr>
          </w:pPr>
          <w:r>
            <w:rPr>
              <w:rFonts w:ascii="Arial" w:eastAsia="Arial" w:hAnsi="Arial" w:cs="Arial"/>
              <w:sz w:val="18"/>
              <w:szCs w:val="18"/>
            </w:rPr>
            <w:t>PROCESO GESTIÓN NORMATIVA</w:t>
          </w:r>
        </w:p>
      </w:tc>
      <w:tc>
        <w:tcPr>
          <w:tcW w:w="2233" w:type="dxa"/>
        </w:tcPr>
        <w:p w:rsidR="00FD1931" w:rsidRDefault="006879E2">
          <w:pPr>
            <w:ind w:firstLine="357"/>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FD1931">
      <w:trPr>
        <w:trHeight w:val="454"/>
      </w:trPr>
      <w:tc>
        <w:tcPr>
          <w:tcW w:w="2361" w:type="dxa"/>
          <w:vMerge/>
        </w:tcPr>
        <w:p w:rsidR="00FD1931" w:rsidRDefault="00FD1931">
          <w:pPr>
            <w:widowControl w:val="0"/>
            <w:pBdr>
              <w:top w:val="nil"/>
              <w:left w:val="nil"/>
              <w:bottom w:val="nil"/>
              <w:right w:val="nil"/>
              <w:between w:val="nil"/>
            </w:pBdr>
            <w:spacing w:line="276" w:lineRule="auto"/>
            <w:rPr>
              <w:rFonts w:ascii="Arial" w:eastAsia="Arial" w:hAnsi="Arial" w:cs="Arial"/>
              <w:sz w:val="16"/>
              <w:szCs w:val="16"/>
            </w:rPr>
          </w:pPr>
        </w:p>
      </w:tc>
      <w:tc>
        <w:tcPr>
          <w:tcW w:w="4234" w:type="dxa"/>
          <w:vMerge w:val="restart"/>
        </w:tcPr>
        <w:p w:rsidR="00FD1931" w:rsidRDefault="006879E2">
          <w:pPr>
            <w:ind w:firstLine="357"/>
            <w:jc w:val="center"/>
            <w:rPr>
              <w:rFonts w:ascii="Arial" w:eastAsia="Arial" w:hAnsi="Arial" w:cs="Arial"/>
              <w:sz w:val="18"/>
              <w:szCs w:val="18"/>
            </w:rPr>
          </w:pPr>
          <w:r>
            <w:rPr>
              <w:rFonts w:ascii="Arial" w:eastAsia="Arial" w:hAnsi="Arial" w:cs="Arial"/>
              <w:sz w:val="18"/>
              <w:szCs w:val="18"/>
            </w:rPr>
            <w:t>PRESENTACIÓN PONENCIAS</w:t>
          </w:r>
        </w:p>
      </w:tc>
      <w:tc>
        <w:tcPr>
          <w:tcW w:w="2233" w:type="dxa"/>
        </w:tcPr>
        <w:p w:rsidR="00FD1931" w:rsidRDefault="006879E2">
          <w:pPr>
            <w:ind w:firstLine="357"/>
            <w:rPr>
              <w:rFonts w:ascii="Arial" w:eastAsia="Arial" w:hAnsi="Arial" w:cs="Arial"/>
              <w:sz w:val="16"/>
              <w:szCs w:val="16"/>
            </w:rPr>
          </w:pPr>
          <w:r>
            <w:rPr>
              <w:rFonts w:ascii="Arial" w:eastAsia="Arial" w:hAnsi="Arial" w:cs="Arial"/>
              <w:sz w:val="16"/>
              <w:szCs w:val="16"/>
            </w:rPr>
            <w:t>VERSIÓN:    01</w:t>
          </w:r>
        </w:p>
      </w:tc>
    </w:tr>
    <w:tr w:rsidR="00FD1931">
      <w:trPr>
        <w:trHeight w:val="454"/>
      </w:trPr>
      <w:tc>
        <w:tcPr>
          <w:tcW w:w="2361" w:type="dxa"/>
          <w:vMerge/>
        </w:tcPr>
        <w:p w:rsidR="00FD1931" w:rsidRDefault="00FD1931">
          <w:pPr>
            <w:widowControl w:val="0"/>
            <w:pBdr>
              <w:top w:val="nil"/>
              <w:left w:val="nil"/>
              <w:bottom w:val="nil"/>
              <w:right w:val="nil"/>
              <w:between w:val="nil"/>
            </w:pBdr>
            <w:spacing w:line="276" w:lineRule="auto"/>
            <w:rPr>
              <w:rFonts w:ascii="Arial" w:eastAsia="Arial" w:hAnsi="Arial" w:cs="Arial"/>
              <w:sz w:val="16"/>
              <w:szCs w:val="16"/>
            </w:rPr>
          </w:pPr>
        </w:p>
      </w:tc>
      <w:tc>
        <w:tcPr>
          <w:tcW w:w="4234" w:type="dxa"/>
          <w:vMerge/>
        </w:tcPr>
        <w:p w:rsidR="00FD1931" w:rsidRDefault="00FD1931">
          <w:pPr>
            <w:widowControl w:val="0"/>
            <w:pBdr>
              <w:top w:val="nil"/>
              <w:left w:val="nil"/>
              <w:bottom w:val="nil"/>
              <w:right w:val="nil"/>
              <w:between w:val="nil"/>
            </w:pBdr>
            <w:spacing w:line="276" w:lineRule="auto"/>
            <w:rPr>
              <w:rFonts w:ascii="Arial" w:eastAsia="Arial" w:hAnsi="Arial" w:cs="Arial"/>
              <w:sz w:val="16"/>
              <w:szCs w:val="16"/>
            </w:rPr>
          </w:pPr>
        </w:p>
      </w:tc>
      <w:tc>
        <w:tcPr>
          <w:tcW w:w="2233" w:type="dxa"/>
        </w:tcPr>
        <w:p w:rsidR="00FD1931" w:rsidRDefault="006879E2">
          <w:pPr>
            <w:ind w:firstLine="357"/>
            <w:rPr>
              <w:rFonts w:ascii="Arial" w:eastAsia="Arial" w:hAnsi="Arial" w:cs="Arial"/>
              <w:sz w:val="16"/>
              <w:szCs w:val="16"/>
            </w:rPr>
          </w:pPr>
          <w:r>
            <w:rPr>
              <w:rFonts w:ascii="Arial" w:eastAsia="Arial" w:hAnsi="Arial" w:cs="Arial"/>
              <w:sz w:val="16"/>
              <w:szCs w:val="16"/>
            </w:rPr>
            <w:t>FECHA: 14-11-2019</w:t>
          </w:r>
        </w:p>
      </w:tc>
    </w:tr>
  </w:tbl>
  <w:p w:rsidR="00FD1931" w:rsidRDefault="00FD1931">
    <w:pPr>
      <w:pBdr>
        <w:top w:val="nil"/>
        <w:left w:val="nil"/>
        <w:bottom w:val="nil"/>
        <w:right w:val="nil"/>
        <w:between w:val="nil"/>
      </w:pBdr>
      <w:tabs>
        <w:tab w:val="center" w:pos="4252"/>
        <w:tab w:val="right" w:pos="8504"/>
      </w:tabs>
      <w:spacing w:after="0" w:line="240" w:lineRule="auto"/>
      <w:ind w:firstLine="357"/>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352"/>
    <w:multiLevelType w:val="multilevel"/>
    <w:tmpl w:val="E632D0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1E93C9C"/>
    <w:multiLevelType w:val="multilevel"/>
    <w:tmpl w:val="DE76EB90"/>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 w15:restartNumberingAfterBreak="0">
    <w:nsid w:val="168E742B"/>
    <w:multiLevelType w:val="multilevel"/>
    <w:tmpl w:val="CF8CECA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35D45291"/>
    <w:multiLevelType w:val="multilevel"/>
    <w:tmpl w:val="7E5AA9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486C1222"/>
    <w:multiLevelType w:val="multilevel"/>
    <w:tmpl w:val="C5D8A2F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931"/>
    <w:rsid w:val="00123ED5"/>
    <w:rsid w:val="006879E2"/>
    <w:rsid w:val="00B032D3"/>
    <w:rsid w:val="00BB1F5F"/>
    <w:rsid w:val="00F47283"/>
    <w:rsid w:val="00FD19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7E55E"/>
  <w15:docId w15:val="{AB6F28D4-8019-4F05-AAD7-8F96A2940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ind w:left="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360" w:after="80"/>
      <w:outlineLvl w:val="0"/>
    </w:pPr>
    <w:rPr>
      <w:color w:val="2F5496"/>
      <w:sz w:val="40"/>
      <w:szCs w:val="40"/>
    </w:rPr>
  </w:style>
  <w:style w:type="paragraph" w:styleId="Ttulo2">
    <w:name w:val="heading 2"/>
    <w:basedOn w:val="Normal"/>
    <w:next w:val="Normal"/>
    <w:pPr>
      <w:keepNext/>
      <w:keepLines/>
      <w:spacing w:before="160" w:after="80"/>
      <w:outlineLvl w:val="1"/>
    </w:pPr>
    <w:rPr>
      <w:color w:val="2F5496"/>
      <w:sz w:val="32"/>
      <w:szCs w:val="32"/>
    </w:rPr>
  </w:style>
  <w:style w:type="paragraph" w:styleId="Ttulo3">
    <w:name w:val="heading 3"/>
    <w:basedOn w:val="Normal"/>
    <w:next w:val="Normal"/>
    <w:pPr>
      <w:keepNext/>
      <w:keepLines/>
      <w:spacing w:before="160" w:after="80"/>
      <w:outlineLvl w:val="2"/>
    </w:pPr>
    <w:rPr>
      <w:color w:val="2F5496"/>
      <w:sz w:val="28"/>
      <w:szCs w:val="28"/>
    </w:rPr>
  </w:style>
  <w:style w:type="paragraph" w:styleId="Ttulo4">
    <w:name w:val="heading 4"/>
    <w:basedOn w:val="Normal"/>
    <w:next w:val="Normal"/>
    <w:pPr>
      <w:keepNext/>
      <w:keepLines/>
      <w:spacing w:before="80" w:after="40"/>
      <w:outlineLvl w:val="3"/>
    </w:pPr>
    <w:rPr>
      <w:i/>
      <w:color w:val="2F5496"/>
    </w:rPr>
  </w:style>
  <w:style w:type="paragraph" w:styleId="Ttulo5">
    <w:name w:val="heading 5"/>
    <w:basedOn w:val="Normal"/>
    <w:next w:val="Normal"/>
    <w:pPr>
      <w:keepNext/>
      <w:keepLines/>
      <w:spacing w:before="80" w:after="40"/>
      <w:outlineLvl w:val="4"/>
    </w:pPr>
    <w:rPr>
      <w:color w:val="2F5496"/>
    </w:rPr>
  </w:style>
  <w:style w:type="paragraph" w:styleId="Ttulo6">
    <w:name w:val="heading 6"/>
    <w:basedOn w:val="Normal"/>
    <w:next w:val="Normal"/>
    <w:pPr>
      <w:keepNext/>
      <w:keepLines/>
      <w:spacing w:before="40" w:after="0"/>
      <w:outlineLvl w:val="5"/>
    </w:pPr>
    <w:rPr>
      <w:i/>
      <w:color w:val="595959"/>
    </w:rPr>
  </w:style>
  <w:style w:type="paragraph" w:styleId="Ttulo7">
    <w:name w:val="heading 7"/>
    <w:basedOn w:val="Normal"/>
    <w:next w:val="Normal"/>
    <w:link w:val="Ttulo7Car"/>
    <w:uiPriority w:val="9"/>
    <w:semiHidden/>
    <w:unhideWhenUsed/>
    <w:qFormat/>
    <w:rsid w:val="002D0F7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D0F7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D0F7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spacing w:after="80" w:line="240" w:lineRule="auto"/>
    </w:pPr>
    <w:rPr>
      <w:sz w:val="56"/>
      <w:szCs w:val="56"/>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Ttulo1Car">
    <w:name w:val="Título 1 Car"/>
    <w:basedOn w:val="Fuentedeprrafopredeter"/>
    <w:uiPriority w:val="9"/>
    <w:rsid w:val="002D0F7F"/>
    <w:rPr>
      <w:rFonts w:asciiTheme="majorHAnsi" w:eastAsiaTheme="majorEastAsia" w:hAnsiTheme="majorHAnsi" w:cstheme="majorBidi"/>
      <w:color w:val="2F5496" w:themeColor="accent1" w:themeShade="BF"/>
      <w:sz w:val="40"/>
      <w:szCs w:val="40"/>
      <w:lang w:val="es-CO"/>
    </w:rPr>
  </w:style>
  <w:style w:type="character" w:customStyle="1" w:styleId="Ttulo2Car">
    <w:name w:val="Título 2 Car"/>
    <w:basedOn w:val="Fuentedeprrafopredeter"/>
    <w:uiPriority w:val="9"/>
    <w:rsid w:val="002D0F7F"/>
    <w:rPr>
      <w:rFonts w:asciiTheme="majorHAnsi" w:eastAsiaTheme="majorEastAsia" w:hAnsiTheme="majorHAnsi" w:cstheme="majorBidi"/>
      <w:color w:val="2F5496" w:themeColor="accent1" w:themeShade="BF"/>
      <w:sz w:val="32"/>
      <w:szCs w:val="32"/>
      <w:lang w:val="es-CO"/>
    </w:rPr>
  </w:style>
  <w:style w:type="character" w:customStyle="1" w:styleId="Ttulo3Car">
    <w:name w:val="Título 3 Car"/>
    <w:basedOn w:val="Fuentedeprrafopredeter"/>
    <w:uiPriority w:val="9"/>
    <w:semiHidden/>
    <w:rsid w:val="002D0F7F"/>
    <w:rPr>
      <w:rFonts w:eastAsiaTheme="majorEastAsia" w:cstheme="majorBidi"/>
      <w:color w:val="2F5496" w:themeColor="accent1" w:themeShade="BF"/>
      <w:sz w:val="28"/>
      <w:szCs w:val="28"/>
      <w:lang w:val="es-CO"/>
    </w:rPr>
  </w:style>
  <w:style w:type="character" w:customStyle="1" w:styleId="Ttulo4Car">
    <w:name w:val="Título 4 Car"/>
    <w:basedOn w:val="Fuentedeprrafopredeter"/>
    <w:uiPriority w:val="9"/>
    <w:rsid w:val="002D0F7F"/>
    <w:rPr>
      <w:rFonts w:eastAsiaTheme="majorEastAsia" w:cstheme="majorBidi"/>
      <w:i/>
      <w:iCs/>
      <w:color w:val="2F5496" w:themeColor="accent1" w:themeShade="BF"/>
      <w:lang w:val="es-CO"/>
    </w:rPr>
  </w:style>
  <w:style w:type="character" w:customStyle="1" w:styleId="Ttulo5Car">
    <w:name w:val="Título 5 Car"/>
    <w:basedOn w:val="Fuentedeprrafopredeter"/>
    <w:uiPriority w:val="9"/>
    <w:semiHidden/>
    <w:rsid w:val="002D0F7F"/>
    <w:rPr>
      <w:rFonts w:eastAsiaTheme="majorEastAsia" w:cstheme="majorBidi"/>
      <w:color w:val="2F5496" w:themeColor="accent1" w:themeShade="BF"/>
      <w:lang w:val="es-CO"/>
    </w:rPr>
  </w:style>
  <w:style w:type="character" w:customStyle="1" w:styleId="Ttulo6Car">
    <w:name w:val="Título 6 Car"/>
    <w:basedOn w:val="Fuentedeprrafopredeter"/>
    <w:uiPriority w:val="9"/>
    <w:semiHidden/>
    <w:rsid w:val="002D0F7F"/>
    <w:rPr>
      <w:rFonts w:eastAsiaTheme="majorEastAsia" w:cstheme="majorBidi"/>
      <w:i/>
      <w:iCs/>
      <w:color w:val="595959" w:themeColor="text1" w:themeTint="A6"/>
      <w:lang w:val="es-CO"/>
    </w:rPr>
  </w:style>
  <w:style w:type="character" w:customStyle="1" w:styleId="Ttulo7Car">
    <w:name w:val="Título 7 Car"/>
    <w:basedOn w:val="Fuentedeprrafopredeter"/>
    <w:link w:val="Ttulo7"/>
    <w:uiPriority w:val="9"/>
    <w:semiHidden/>
    <w:rsid w:val="002D0F7F"/>
    <w:rPr>
      <w:rFonts w:eastAsiaTheme="majorEastAsia" w:cstheme="majorBidi"/>
      <w:color w:val="595959" w:themeColor="text1" w:themeTint="A6"/>
      <w:lang w:val="es-CO"/>
    </w:rPr>
  </w:style>
  <w:style w:type="character" w:customStyle="1" w:styleId="Ttulo8Car">
    <w:name w:val="Título 8 Car"/>
    <w:basedOn w:val="Fuentedeprrafopredeter"/>
    <w:link w:val="Ttulo8"/>
    <w:uiPriority w:val="9"/>
    <w:semiHidden/>
    <w:rsid w:val="002D0F7F"/>
    <w:rPr>
      <w:rFonts w:eastAsiaTheme="majorEastAsia" w:cstheme="majorBidi"/>
      <w:i/>
      <w:iCs/>
      <w:color w:val="272727" w:themeColor="text1" w:themeTint="D8"/>
      <w:lang w:val="es-CO"/>
    </w:rPr>
  </w:style>
  <w:style w:type="character" w:customStyle="1" w:styleId="Ttulo9Car">
    <w:name w:val="Título 9 Car"/>
    <w:basedOn w:val="Fuentedeprrafopredeter"/>
    <w:link w:val="Ttulo9"/>
    <w:uiPriority w:val="9"/>
    <w:semiHidden/>
    <w:rsid w:val="002D0F7F"/>
    <w:rPr>
      <w:rFonts w:eastAsiaTheme="majorEastAsia" w:cstheme="majorBidi"/>
      <w:color w:val="272727" w:themeColor="text1" w:themeTint="D8"/>
      <w:lang w:val="es-CO"/>
    </w:rPr>
  </w:style>
  <w:style w:type="character" w:customStyle="1" w:styleId="TtuloCar">
    <w:name w:val="Título Car"/>
    <w:basedOn w:val="Fuentedeprrafopredeter"/>
    <w:uiPriority w:val="10"/>
    <w:rsid w:val="002D0F7F"/>
    <w:rPr>
      <w:rFonts w:asciiTheme="majorHAnsi" w:eastAsiaTheme="majorEastAsia" w:hAnsiTheme="majorHAnsi" w:cstheme="majorBidi"/>
      <w:spacing w:val="-10"/>
      <w:kern w:val="28"/>
      <w:sz w:val="56"/>
      <w:szCs w:val="56"/>
      <w:lang w:val="es-CO"/>
    </w:rPr>
  </w:style>
  <w:style w:type="character" w:customStyle="1" w:styleId="SubttuloCar">
    <w:name w:val="Subtítulo Car"/>
    <w:basedOn w:val="Fuentedeprrafopredeter"/>
    <w:uiPriority w:val="11"/>
    <w:rsid w:val="002D0F7F"/>
    <w:rPr>
      <w:rFonts w:eastAsiaTheme="majorEastAsia" w:cstheme="majorBidi"/>
      <w:color w:val="595959" w:themeColor="text1" w:themeTint="A6"/>
      <w:spacing w:val="15"/>
      <w:sz w:val="28"/>
      <w:szCs w:val="28"/>
      <w:lang w:val="es-CO"/>
    </w:rPr>
  </w:style>
  <w:style w:type="paragraph" w:styleId="Cita">
    <w:name w:val="Quote"/>
    <w:basedOn w:val="Normal"/>
    <w:next w:val="Normal"/>
    <w:link w:val="CitaCar"/>
    <w:uiPriority w:val="29"/>
    <w:qFormat/>
    <w:rsid w:val="002D0F7F"/>
    <w:pPr>
      <w:spacing w:before="160"/>
      <w:jc w:val="center"/>
    </w:pPr>
    <w:rPr>
      <w:i/>
      <w:iCs/>
      <w:color w:val="404040" w:themeColor="text1" w:themeTint="BF"/>
    </w:rPr>
  </w:style>
  <w:style w:type="character" w:customStyle="1" w:styleId="CitaCar">
    <w:name w:val="Cita Car"/>
    <w:basedOn w:val="Fuentedeprrafopredeter"/>
    <w:link w:val="Cita"/>
    <w:uiPriority w:val="29"/>
    <w:rsid w:val="002D0F7F"/>
    <w:rPr>
      <w:i/>
      <w:iCs/>
      <w:color w:val="404040" w:themeColor="text1" w:themeTint="BF"/>
      <w:lang w:val="es-CO"/>
    </w:rPr>
  </w:style>
  <w:style w:type="paragraph" w:styleId="Prrafodelista">
    <w:name w:val="List Paragraph"/>
    <w:basedOn w:val="Normal"/>
    <w:uiPriority w:val="34"/>
    <w:qFormat/>
    <w:rsid w:val="002D0F7F"/>
    <w:pPr>
      <w:ind w:left="720"/>
      <w:contextualSpacing/>
    </w:pPr>
  </w:style>
  <w:style w:type="character" w:styleId="nfasisintenso">
    <w:name w:val="Intense Emphasis"/>
    <w:basedOn w:val="Fuentedeprrafopredeter"/>
    <w:uiPriority w:val="21"/>
    <w:qFormat/>
    <w:rsid w:val="002D0F7F"/>
    <w:rPr>
      <w:i/>
      <w:iCs/>
      <w:color w:val="2F5496" w:themeColor="accent1" w:themeShade="BF"/>
    </w:rPr>
  </w:style>
  <w:style w:type="paragraph" w:styleId="Citadestacada">
    <w:name w:val="Intense Quote"/>
    <w:basedOn w:val="Normal"/>
    <w:next w:val="Normal"/>
    <w:link w:val="CitadestacadaCar"/>
    <w:uiPriority w:val="30"/>
    <w:qFormat/>
    <w:rsid w:val="002D0F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D0F7F"/>
    <w:rPr>
      <w:i/>
      <w:iCs/>
      <w:color w:val="2F5496" w:themeColor="accent1" w:themeShade="BF"/>
      <w:lang w:val="es-CO"/>
    </w:rPr>
  </w:style>
  <w:style w:type="character" w:styleId="Referenciaintensa">
    <w:name w:val="Intense Reference"/>
    <w:basedOn w:val="Fuentedeprrafopredeter"/>
    <w:uiPriority w:val="32"/>
    <w:qFormat/>
    <w:rsid w:val="002D0F7F"/>
    <w:rPr>
      <w:b/>
      <w:bCs/>
      <w:smallCaps/>
      <w:color w:val="2F5496" w:themeColor="accent1" w:themeShade="BF"/>
      <w:spacing w:val="5"/>
    </w:rPr>
  </w:style>
  <w:style w:type="paragraph" w:styleId="Encabezado">
    <w:name w:val="header"/>
    <w:basedOn w:val="Normal"/>
    <w:link w:val="EncabezadoCar"/>
    <w:uiPriority w:val="99"/>
    <w:unhideWhenUsed/>
    <w:rsid w:val="002D0F7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D0F7F"/>
    <w:rPr>
      <w:lang w:val="es-CO"/>
    </w:rPr>
  </w:style>
  <w:style w:type="paragraph" w:styleId="Piedepgina">
    <w:name w:val="footer"/>
    <w:basedOn w:val="Normal"/>
    <w:link w:val="PiedepginaCar"/>
    <w:uiPriority w:val="99"/>
    <w:unhideWhenUsed/>
    <w:rsid w:val="002D0F7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D0F7F"/>
    <w:rPr>
      <w:lang w:val="es-CO"/>
    </w:rPr>
  </w:style>
  <w:style w:type="table" w:styleId="Tablaconcuadrcula">
    <w:name w:val="Table Grid"/>
    <w:basedOn w:val="Tablanormal"/>
    <w:uiPriority w:val="39"/>
    <w:rsid w:val="002D0F7F"/>
    <w:pPr>
      <w:spacing w:after="0"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50F71"/>
    <w:pPr>
      <w:spacing w:before="100" w:beforeAutospacing="1" w:after="100" w:afterAutospacing="1" w:line="240" w:lineRule="auto"/>
      <w:ind w:left="0"/>
      <w:jc w:val="left"/>
    </w:pPr>
    <w:rPr>
      <w:rFonts w:ascii="Times New Roman" w:eastAsia="Times New Roman" w:hAnsi="Times New Roman" w:cs="Times New Roman"/>
      <w:sz w:val="24"/>
      <w:szCs w:val="24"/>
      <w:lang w:val="es-PE" w:eastAsia="es-PE"/>
    </w:rPr>
  </w:style>
  <w:style w:type="character" w:styleId="Hipervnculo">
    <w:name w:val="Hyperlink"/>
    <w:basedOn w:val="Fuentedeprrafopredeter"/>
    <w:uiPriority w:val="99"/>
    <w:unhideWhenUsed/>
    <w:rsid w:val="00491F62"/>
    <w:rPr>
      <w:color w:val="0563C1" w:themeColor="hyperlink"/>
      <w:u w:val="single"/>
    </w:rPr>
  </w:style>
  <w:style w:type="character" w:customStyle="1" w:styleId="Mencinsinresolver1">
    <w:name w:val="Mención sin resolver1"/>
    <w:basedOn w:val="Fuentedeprrafopredeter"/>
    <w:uiPriority w:val="99"/>
    <w:semiHidden/>
    <w:unhideWhenUsed/>
    <w:rsid w:val="00491F62"/>
    <w:rPr>
      <w:color w:val="605E5C"/>
      <w:shd w:val="clear" w:color="auto" w:fill="E1DFDD"/>
    </w:rPr>
  </w:style>
  <w:style w:type="paragraph" w:styleId="Textonotapie">
    <w:name w:val="footnote text"/>
    <w:basedOn w:val="Normal"/>
    <w:link w:val="TextonotapieCar"/>
    <w:uiPriority w:val="99"/>
    <w:semiHidden/>
    <w:unhideWhenUsed/>
    <w:rsid w:val="006C426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C426C"/>
    <w:rPr>
      <w:sz w:val="20"/>
      <w:szCs w:val="20"/>
      <w:lang w:val="es-CO"/>
    </w:rPr>
  </w:style>
  <w:style w:type="character" w:styleId="Refdenotaalpie">
    <w:name w:val="footnote reference"/>
    <w:basedOn w:val="Fuentedeprrafopredeter"/>
    <w:uiPriority w:val="99"/>
    <w:semiHidden/>
    <w:unhideWhenUsed/>
    <w:rsid w:val="006C426C"/>
    <w:rPr>
      <w:vertAlign w:val="superscript"/>
    </w:rPr>
  </w:style>
  <w:style w:type="character" w:styleId="Textoennegrita">
    <w:name w:val="Strong"/>
    <w:basedOn w:val="Fuentedeprrafopredeter"/>
    <w:uiPriority w:val="22"/>
    <w:qFormat/>
    <w:rsid w:val="006135E8"/>
    <w:rPr>
      <w:b/>
      <w:bCs/>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pPr>
      <w:spacing w:after="0" w:line="240" w:lineRule="auto"/>
      <w:ind w:left="0"/>
      <w:jc w:val="left"/>
    </w:pPr>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pPr>
      <w:spacing w:after="0" w:line="240" w:lineRule="auto"/>
      <w:ind w:left="0"/>
      <w:jc w:val="left"/>
    </w:pPr>
    <w:tblPr>
      <w:tblStyleRowBandSize w:val="1"/>
      <w:tblStyleColBandSize w:val="1"/>
      <w:tblCellMar>
        <w:left w:w="108" w:type="dxa"/>
        <w:right w:w="108" w:type="dxa"/>
      </w:tblCellMar>
    </w:tblPr>
  </w:style>
  <w:style w:type="table" w:customStyle="1" w:styleId="a5">
    <w:basedOn w:val="TableNormal2"/>
    <w:tblPr>
      <w:tblStyleRowBandSize w:val="1"/>
      <w:tblStyleColBandSize w:val="1"/>
      <w:tblCellMar>
        <w:top w:w="100" w:type="dxa"/>
        <w:left w:w="100" w:type="dxa"/>
        <w:bottom w:w="100" w:type="dxa"/>
        <w:right w:w="100" w:type="dxa"/>
      </w:tblCellMar>
    </w:tblPr>
  </w:style>
  <w:style w:type="table" w:customStyle="1" w:styleId="a6">
    <w:basedOn w:val="TableNormal2"/>
    <w:tblPr>
      <w:tblStyleRowBandSize w:val="1"/>
      <w:tblStyleColBandSize w:val="1"/>
      <w:tblCellMar>
        <w:top w:w="100" w:type="dxa"/>
        <w:left w:w="100" w:type="dxa"/>
        <w:bottom w:w="100" w:type="dxa"/>
        <w:right w:w="100" w:type="dxa"/>
      </w:tblCellMar>
    </w:tblPr>
  </w:style>
  <w:style w:type="table" w:customStyle="1" w:styleId="a7">
    <w:basedOn w:val="TableNormal2"/>
    <w:tblPr>
      <w:tblStyleRowBandSize w:val="1"/>
      <w:tblStyleColBandSize w:val="1"/>
      <w:tblCellMar>
        <w:top w:w="100" w:type="dxa"/>
        <w:left w:w="100" w:type="dxa"/>
        <w:bottom w:w="100" w:type="dxa"/>
        <w:right w:w="100" w:type="dxa"/>
      </w:tblCellMar>
    </w:tblPr>
  </w:style>
  <w:style w:type="table" w:customStyle="1" w:styleId="a8">
    <w:basedOn w:val="TableNormal2"/>
    <w:pPr>
      <w:spacing w:after="0" w:line="240" w:lineRule="auto"/>
      <w:ind w:left="0"/>
      <w:jc w:val="left"/>
    </w:pPr>
    <w:tblPr>
      <w:tblStyleRowBandSize w:val="1"/>
      <w:tblStyleColBandSize w:val="1"/>
      <w:tblCellMar>
        <w:left w:w="108" w:type="dxa"/>
        <w:right w:w="108" w:type="dxa"/>
      </w:tblCellMar>
    </w:tblPr>
  </w:style>
  <w:style w:type="paragraph" w:styleId="Subttulo">
    <w:name w:val="Subtitle"/>
    <w:basedOn w:val="Normal"/>
    <w:next w:val="Normal"/>
    <w:rPr>
      <w:color w:val="595959"/>
      <w:sz w:val="28"/>
      <w:szCs w:val="28"/>
    </w:rPr>
  </w:style>
  <w:style w:type="table" w:customStyle="1" w:styleId="a9">
    <w:basedOn w:val="TableNormal2"/>
    <w:tblPr>
      <w:tblStyleRowBandSize w:val="1"/>
      <w:tblStyleColBandSize w:val="1"/>
      <w:tblCellMar>
        <w:top w:w="100" w:type="dxa"/>
        <w:left w:w="100" w:type="dxa"/>
        <w:bottom w:w="100" w:type="dxa"/>
        <w:right w:w="100" w:type="dxa"/>
      </w:tblCellMar>
    </w:tblPr>
  </w:style>
  <w:style w:type="table" w:customStyle="1" w:styleId="aa">
    <w:basedOn w:val="TableNormal2"/>
    <w:tblPr>
      <w:tblStyleRowBandSize w:val="1"/>
      <w:tblStyleColBandSize w:val="1"/>
      <w:tblCellMar>
        <w:top w:w="100" w:type="dxa"/>
        <w:left w:w="100" w:type="dxa"/>
        <w:bottom w:w="100" w:type="dxa"/>
        <w:right w:w="100" w:type="dxa"/>
      </w:tblCellMar>
    </w:tblPr>
  </w:style>
  <w:style w:type="table" w:customStyle="1" w:styleId="ab">
    <w:basedOn w:val="TableNormal2"/>
    <w:pPr>
      <w:spacing w:after="0" w:line="240" w:lineRule="auto"/>
      <w:ind w:left="0"/>
      <w:jc w:val="left"/>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3" Type="http://schemas.openxmlformats.org/officeDocument/2006/relationships/hyperlink" Target="https://razonpublica.com/la-deficiencia-educativa-retrasa-colombia/" TargetMode="External"/><Relationship Id="rId2" Type="http://schemas.openxmlformats.org/officeDocument/2006/relationships/hyperlink" Target="https://smece.educacionbogota.edu.co/sites/default/files/2024-01/Informe%20de%20Ciudad%20SMECE%202023.pdf" TargetMode="External"/><Relationship Id="rId1" Type="http://schemas.openxmlformats.org/officeDocument/2006/relationships/hyperlink" Target="https://smece.educacionbogota.edu.co/sites/default/files/2024-01/Informe%20de%20Ciudad%20SMECE%202023.pdf" TargetMode="External"/><Relationship Id="rId4" Type="http://schemas.openxmlformats.org/officeDocument/2006/relationships/hyperlink" Target="https://razonpublica.com/la-deficiencia-educativa-retrasa-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QJeOibYa3xIvPdZdqP1YgOQ1w==">CgMxLjAaHwoBMBIaChgICVIUChJ0YWJsZS5icmZ0cnphMGM2a2saHwoBMRIaChgICVIUChJ0YWJsZS42cTVubG5md3Q2OTQyCGguZ2pkZ3hzMgloLjMwajB6bGwyDmgudmE5eG1qMnZ0MzV2OAByITFWQkl1UWNsaWlTblB0ZXh1WFk4WHNOdEoxb0pvVTJPNg==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10804</Words>
  <Characters>59423</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Alisson Camila Blanco Mayorga</dc:creator>
  <cp:lastModifiedBy>DIANA CAROLINA RIVEROS BEJARANO</cp:lastModifiedBy>
  <cp:revision>2</cp:revision>
  <dcterms:created xsi:type="dcterms:W3CDTF">2025-10-21T18:46:00Z</dcterms:created>
  <dcterms:modified xsi:type="dcterms:W3CDTF">2025-10-21T18:46:00Z</dcterms:modified>
</cp:coreProperties>
</file>